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TEMEL YAŞAM BECERİLERİ I DERSİ</w:t>
        <w:br/>
        <w:t>EYLÜL AYI TÜRKİYE YÜZYILI MAARİF MODELİ DERS RAPORU</w:t>
      </w:r>
    </w:p>
    <w:p>
      <w:r>
        <w:t>Eğitim Öğretim Yılı: 2026–2027     |     Haftalık Ders Saati: 2     |     Rapor No: 1     |     Tarih: 01.10.2026</w:t>
      </w:r>
    </w:p>
    <w:p>
      <w:pPr>
        <w:pStyle w:val="Heading2"/>
      </w:pPr>
      <w:r>
        <w:t>1. AYLIK ÖĞRENME ALANLARI VE ÖĞRENME ÇIKTILARI</w:t>
      </w:r>
    </w:p>
    <w:tbl>
      <w:tblPr>
        <w:tblStyle w:val="TableGrid"/>
        <w:tblW w:type="auto" w:w="0"/>
        <w:tblLayout w:type="fixed"/>
        <w:tblLook w:firstColumn="1" w:firstRow="1" w:lastColumn="0" w:lastRow="0" w:noHBand="0" w:noVBand="1" w:val="04A0"/>
      </w:tblPr>
      <w:tblGrid>
        <w:gridCol w:w="2268"/>
        <w:gridCol w:w="7257"/>
      </w:tblGrid>
      <w:tr>
        <w:tc>
          <w:tcPr>
            <w:tcW w:type="dxa" w:w="2268"/>
          </w:tcPr>
          <w:p>
            <w:pPr>
              <w:spacing w:after="20"/>
            </w:pPr>
            <w:r>
              <w:rPr>
                <w:sz w:val="16"/>
              </w:rPr>
              <w:t>Öğrenme alanı / tema</w:t>
            </w:r>
          </w:p>
        </w:tc>
        <w:tc>
          <w:tcPr>
            <w:tcW w:type="dxa" w:w="7257"/>
          </w:tcPr>
          <w:p>
            <w:pPr>
              <w:spacing w:after="20"/>
            </w:pPr>
            <w:r>
              <w:rPr>
                <w:sz w:val="16"/>
              </w:rPr>
              <w:t>Okul Temelli Planlama; İletişim ve Sosyal Beceriler</w:t>
            </w:r>
          </w:p>
        </w:tc>
      </w:tr>
      <w:tr>
        <w:tc>
          <w:tcPr>
            <w:tcW w:type="dxa" w:w="2268"/>
          </w:tcPr>
          <w:p>
            <w:pPr>
              <w:spacing w:after="20"/>
            </w:pPr>
            <w:r>
              <w:rPr>
                <w:sz w:val="16"/>
              </w:rPr>
              <w:t>İçerik / konular</w:t>
            </w:r>
          </w:p>
        </w:tc>
        <w:tc>
          <w:tcPr>
            <w:tcW w:type="dxa" w:w="7257"/>
          </w:tcPr>
          <w:p>
            <w:pPr>
              <w:spacing w:after="20"/>
            </w:pPr>
            <w:r>
              <w:rPr>
                <w:sz w:val="16"/>
              </w:rPr>
              <w:t>Okul Temelli Planlama; Kendini İfade Etme Yolları</w:t>
            </w:r>
          </w:p>
        </w:tc>
      </w:tr>
      <w:tr>
        <w:tc>
          <w:tcPr>
            <w:tcW w:type="dxa" w:w="2268"/>
          </w:tcPr>
          <w:p>
            <w:pPr>
              <w:spacing w:after="20"/>
            </w:pPr>
            <w:r>
              <w:rPr>
                <w:sz w:val="16"/>
              </w:rPr>
              <w:t>Öğrenme çıktıları ve süreç bileşenleri</w:t>
            </w:r>
          </w:p>
        </w:tc>
        <w:tc>
          <w:tcPr>
            <w:tcW w:type="dxa" w:w="7257"/>
          </w:tcPr>
          <w:p>
            <w:pPr>
              <w:spacing w:after="20"/>
            </w:pPr>
            <w:r>
              <w:rPr>
                <w:sz w:val="16"/>
              </w:rPr>
              <w:t>Okul Temelli Planlama</w:t>
              <w:br/>
              <w:t>TYB.1.1.1. Kendini ifade etme yollarını karşılaştırabilme a) Kendini ifade etme yollarına ilişkin özellikleri belirler.</w:t>
              <w:br/>
              <w:t>TYB.1.1.1. Kendini ifade etme yollarını karşılaştırabilme b) Kendini ifade etme yollarına ilişkin benzerlikleri listeler.</w:t>
            </w:r>
          </w:p>
        </w:tc>
      </w:tr>
    </w:tbl>
    <w:p>
      <w:pPr>
        <w:pStyle w:val="Heading2"/>
      </w:pPr>
      <w:r>
        <w:t>2. BECERİLER, EĞİLİMLER VE PROGRAMLAR ARASI BİLEŞENLER</w:t>
      </w:r>
    </w:p>
    <w:tbl>
      <w:tblPr>
        <w:tblStyle w:val="TableGrid"/>
        <w:tblW w:type="auto" w:w="0"/>
        <w:tblLayout w:type="fixed"/>
        <w:tblLook w:firstColumn="1" w:firstRow="1" w:lastColumn="0" w:lastRow="0" w:noHBand="0" w:noVBand="1" w:val="04A0"/>
      </w:tblPr>
      <w:tblGrid>
        <w:gridCol w:w="2268"/>
        <w:gridCol w:w="7257"/>
      </w:tblGrid>
      <w:tr>
        <w:tc>
          <w:tcPr>
            <w:tcW w:type="dxa" w:w="2268"/>
          </w:tcPr>
          <w:p>
            <w:pPr>
              <w:spacing w:after="20"/>
            </w:pPr>
            <w:r>
              <w:rPr>
                <w:sz w:val="16"/>
              </w:rPr>
              <w:t>Alan ve kavramsal beceriler</w:t>
            </w:r>
          </w:p>
        </w:tc>
        <w:tc>
          <w:tcPr>
            <w:tcW w:type="dxa" w:w="7257"/>
          </w:tcPr>
          <w:p>
            <w:pPr>
              <w:spacing w:after="20"/>
            </w:pPr>
            <w:r>
              <w:rPr>
                <w:sz w:val="16"/>
              </w:rPr>
              <w:t>BTYAB6.1, KB2.7, KB2.15, KB2.17</w:t>
            </w:r>
          </w:p>
        </w:tc>
      </w:tr>
      <w:tr>
        <w:tc>
          <w:tcPr>
            <w:tcW w:type="dxa" w:w="2268"/>
          </w:tcPr>
          <w:p>
            <w:pPr>
              <w:spacing w:after="20"/>
            </w:pPr>
            <w:r>
              <w:rPr>
                <w:sz w:val="16"/>
              </w:rPr>
              <w:t>Eğilimler</w:t>
            </w:r>
          </w:p>
        </w:tc>
        <w:tc>
          <w:tcPr>
            <w:tcW w:type="dxa" w:w="7257"/>
          </w:tcPr>
          <w:p>
            <w:pPr>
              <w:spacing w:after="20"/>
            </w:pPr>
            <w:r>
              <w:rPr>
                <w:sz w:val="16"/>
              </w:rPr>
              <w:t>E1.1, E1.6, E2.1, E2.2, E3.2, E3.7, E3.9, E3.10</w:t>
            </w:r>
          </w:p>
        </w:tc>
      </w:tr>
      <w:tr>
        <w:tc>
          <w:tcPr>
            <w:tcW w:type="dxa" w:w="2268"/>
          </w:tcPr>
          <w:p>
            <w:pPr>
              <w:spacing w:after="20"/>
            </w:pPr>
            <w:r>
              <w:rPr>
                <w:sz w:val="16"/>
              </w:rPr>
              <w:t>Sosyal-duygusal öğrenme</w:t>
            </w:r>
          </w:p>
        </w:tc>
        <w:tc>
          <w:tcPr>
            <w:tcW w:type="dxa" w:w="7257"/>
          </w:tcPr>
          <w:p>
            <w:pPr>
              <w:spacing w:after="20"/>
            </w:pPr>
            <w:r>
              <w:rPr>
                <w:sz w:val="16"/>
              </w:rPr>
              <w:t>SDB1.1, SDB1.2, SDB1.3, SDB2.1, SDB2.2, SDB3.3</w:t>
            </w:r>
          </w:p>
        </w:tc>
      </w:tr>
      <w:tr>
        <w:tc>
          <w:tcPr>
            <w:tcW w:type="dxa" w:w="2268"/>
          </w:tcPr>
          <w:p>
            <w:pPr>
              <w:spacing w:after="20"/>
            </w:pPr>
            <w:r>
              <w:rPr>
                <w:sz w:val="16"/>
              </w:rPr>
              <w:t>Değerler</w:t>
            </w:r>
          </w:p>
        </w:tc>
        <w:tc>
          <w:tcPr>
            <w:tcW w:type="dxa" w:w="7257"/>
          </w:tcPr>
          <w:p>
            <w:pPr>
              <w:spacing w:after="20"/>
            </w:pPr>
            <w:r>
              <w:rPr>
                <w:sz w:val="16"/>
              </w:rPr>
              <w:t>D6, D12, D14, D16</w:t>
            </w:r>
          </w:p>
        </w:tc>
      </w:tr>
      <w:tr>
        <w:tc>
          <w:tcPr>
            <w:tcW w:type="dxa" w:w="2268"/>
          </w:tcPr>
          <w:p>
            <w:pPr>
              <w:spacing w:after="20"/>
            </w:pPr>
            <w:r>
              <w:rPr>
                <w:sz w:val="16"/>
              </w:rPr>
              <w:t>Okuryazarlık</w:t>
            </w:r>
          </w:p>
        </w:tc>
        <w:tc>
          <w:tcPr>
            <w:tcW w:type="dxa" w:w="7257"/>
          </w:tcPr>
          <w:p>
            <w:pPr>
              <w:spacing w:after="20"/>
            </w:pPr>
            <w:r>
              <w:rPr>
                <w:sz w:val="16"/>
              </w:rPr>
              <w:t>OB2</w:t>
            </w:r>
          </w:p>
        </w:tc>
      </w:tr>
    </w:tbl>
    <w:p>
      <w:pPr>
        <w:pStyle w:val="Heading2"/>
      </w:pPr>
      <w:r>
        <w:t>3. ÖĞRENME-ÖĞRETME SÜRECİ</w:t>
      </w:r>
    </w:p>
    <w:p>
      <w:r>
        <w:t>• Okul dışı öğrenme etkinlikleri, sosyal etkinlikler, proje ve okuma çalışmaları, araştırma ve gözlem gibi yerel ihtiyaçlara yönelik çalışmalar yürütülür.</w:t>
      </w:r>
    </w:p>
    <w:p>
      <w:r>
        <w:t>• Öğrenciler sözlü, yazılı, görsel ve dijital ifade yollarının (ses tonu, beden dili, sözcük seçimi) yer aldığı istasyonları sırayla dolaşarak her ifadenin özelliklerini belirler.</w:t>
      </w:r>
    </w:p>
    <w:p>
      <w:r>
        <w:t>• Oluşturulan özellik çizelgelerinden hareketle sözlü, yazılı, görsel ve dijital ifade yollarının ortak yönleri (amaç, hedef kitle, açıklık) bulunarak listelenir ve tartışılır.</w:t>
      </w:r>
    </w:p>
    <w:p>
      <w:pPr>
        <w:pStyle w:val="Heading2"/>
      </w:pPr>
      <w:r>
        <w:t>4. ARAŞTIRMA, PERFORMANS VE UYGULAMA GÖREVLERİ</w:t>
      </w:r>
    </w:p>
    <w:p>
      <w:r>
        <w:t>Öğrencilerin günlük yaşamla bağlantı kurabilmeleri amacıyla ilgili öğrenme alanına uygun gözlem, sınıflandırma, karşılaştırma, veri kaydetme ve ürün oluşturma çalışmaları planlandı. Görevlerde öğrenci katılımı, sorumluluk ve iş birliği esas alındı.</w:t>
      </w:r>
    </w:p>
    <w:p>
      <w:pPr>
        <w:pStyle w:val="Heading2"/>
      </w:pPr>
      <w:r>
        <w:t>5. GÖZLEM, ÖLÇME VE DEĞERLENDİRME</w:t>
      </w:r>
    </w:p>
    <w:p>
      <w:r>
        <w:t>• Gözlem formu, kontrol listesi, karşılaştırma etkinlikleri, veri kayıt tabloları, akış şeması, çalışma kağıdı, öz değerlendirme formu, akran değerlendirme formu, analitik dereceli puanlama anahtarı ve performans görevi</w:t>
      </w:r>
    </w:p>
    <w:p>
      <w:pPr>
        <w:pStyle w:val="Heading2"/>
      </w:pPr>
      <w:r>
        <w:t>6. FARKLILAŞTIRMA (ZENGİNLEŞTİRME VE DESTEKLEME)</w:t>
      </w:r>
    </w:p>
    <w:p>
      <w:r>
        <w:t>• Zenginleştirme: Farklı kültürlerde selamlaşmanın jest ve mimiklerle nasıl ifade edildiğini araştırma. Destekleme: Örnek durumları uygun ifade yollarıyla eşleştirme tablosu hazırlama.</w:t>
      </w:r>
    </w:p>
    <w:p>
      <w:pPr>
        <w:pStyle w:val="Heading2"/>
      </w:pPr>
      <w:r>
        <w:t>7. AYLIK GENEL DEĞERLENDİRME</w:t>
      </w:r>
    </w:p>
    <w:p>
      <w:r>
        <w:t>Bu ayın yıllık plan kapsamındaki öğrenme çıktıları doğrultusunda günlük yaşamla ilişkilendirilen etkinlikler, uygulama örnekleri ve süreç odaklı değerlendirme araçları esas alındı. Öğrencilerin bireysel farklılıklarına uygun destekleme ve zenginleştirme çalışmaları gözetildi. Gerçekleşen uygulamalar ve öğrenci gelişimine ilişkin somut gözlemler, okul kayıtları doğrultusunda rapor tesliminden önce öğretmen tarafından tamamlanmalıdır.</w:t>
      </w:r>
    </w:p>
    <w:p/>
    <w:tbl>
      <w:tblPr>
        <w:tblW w:type="auto" w:w="0"/>
        <w:tblLook w:firstColumn="1" w:firstRow="1" w:lastColumn="0" w:lastRow="0" w:noHBand="0" w:noVBand="1" w:val="04A0"/>
      </w:tblPr>
      <w:tblGrid>
        <w:gridCol w:w="4986"/>
        <w:gridCol w:w="4986"/>
      </w:tblGrid>
      <w:tr>
        <w:tc>
          <w:tcPr>
            <w:tcW w:type="dxa" w:w="4986"/>
          </w:tcPr>
          <w:p>
            <w:pPr>
              <w:jc w:val="center"/>
            </w:pPr>
            <w:r>
              <w:t>Ders Öğretmeni</w:t>
            </w:r>
          </w:p>
        </w:tc>
        <w:tc>
          <w:tcPr>
            <w:tcW w:type="dxa" w:w="4986"/>
          </w:tcPr>
          <w:p>
            <w:pPr>
              <w:jc w:val="center"/>
            </w:pPr>
            <w:r>
              <w:t>Okul Müdürü</w:t>
            </w:r>
          </w:p>
        </w:tc>
      </w:tr>
      <w:tr>
        <w:tc>
          <w:tcPr>
            <w:tcW w:type="dxa" w:w="4986"/>
          </w:tcPr>
          <w:p>
            <w:pPr>
              <w:jc w:val="center"/>
            </w:pPr>
            <w:r>
              <w:t>Adı Soyadı / İmza</w:t>
            </w:r>
          </w:p>
        </w:tc>
        <w:tc>
          <w:tcPr>
            <w:tcW w:type="dxa" w:w="4986"/>
          </w:tcPr>
          <w:p>
            <w:pPr>
              <w:jc w:val="center"/>
            </w:pPr>
            <w:r>
              <w:t>Adı Soyadı / İmza</w:t>
            </w:r>
          </w:p>
        </w:tc>
      </w:tr>
    </w:tbl>
    <w:sectPr w:rsidR="00FC693F" w:rsidRPr="0006063C" w:rsidSect="00034616">
      <w:pgSz w:w="12240" w:h="15840"/>
      <w:pgMar w:top="907"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ascii="Arial" w:hAnsi="Arial"/>
      <w:b/>
      <w:bCs/>
      <w:color w:val="19374F"/>
      <w:sz w:val="20"/>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b/>
      <w:bCs/>
      <w:color w:val="19374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