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22"/>
        </w:rPr>
        <w:t>TEMEL YAŞAM BECERİLERİ I DERSİ</w:t>
        <w:br/>
        <w:t>EKİM AYI TÜRKİYE YÜZYILI MAARİF MODELİ DERS RAPORU</w:t>
      </w:r>
    </w:p>
    <w:p>
      <w:r>
        <w:t>Eğitim Öğretim Yılı: 2026–2027     |     Haftalık Ders Saati: 2     |     Rapor No: 2     |     Tarih: 01.11.2026</w:t>
      </w:r>
    </w:p>
    <w:p>
      <w:pPr>
        <w:pStyle w:val="Heading2"/>
      </w:pPr>
      <w:r>
        <w:t>1. AYLIK ÖĞRENME ALANLARI VE ÖĞRENME ÇIKTILARI</w:t>
      </w:r>
    </w:p>
    <w:tbl>
      <w:tblPr>
        <w:tblStyle w:val="TableGrid"/>
        <w:tblW w:type="auto" w:w="0"/>
        <w:tblLayout w:type="fixed"/>
        <w:tblLook w:firstColumn="1" w:firstRow="1" w:lastColumn="0" w:lastRow="0" w:noHBand="0" w:noVBand="1" w:val="04A0"/>
      </w:tblPr>
      <w:tblGrid>
        <w:gridCol w:w="2268"/>
        <w:gridCol w:w="7257"/>
      </w:tblGrid>
      <w:tr>
        <w:tc>
          <w:tcPr>
            <w:tcW w:type="dxa" w:w="2268"/>
          </w:tcPr>
          <w:p>
            <w:pPr>
              <w:spacing w:after="20"/>
            </w:pPr>
            <w:r>
              <w:rPr>
                <w:sz w:val="16"/>
              </w:rPr>
              <w:t>Öğrenme alanı / tema</w:t>
            </w:r>
          </w:p>
        </w:tc>
        <w:tc>
          <w:tcPr>
            <w:tcW w:type="dxa" w:w="7257"/>
          </w:tcPr>
          <w:p>
            <w:pPr>
              <w:spacing w:after="20"/>
            </w:pPr>
            <w:r>
              <w:rPr>
                <w:sz w:val="16"/>
              </w:rPr>
              <w:t>İletişim ve Sosyal Beceriler; İletişim ve Sosyal Becerilerİletişim ve Sosyal Becerilerİletişim ve Sosyal Beceriler</w:t>
            </w:r>
          </w:p>
        </w:tc>
      </w:tr>
      <w:tr>
        <w:tc>
          <w:tcPr>
            <w:tcW w:type="dxa" w:w="2268"/>
          </w:tcPr>
          <w:p>
            <w:pPr>
              <w:spacing w:after="20"/>
            </w:pPr>
            <w:r>
              <w:rPr>
                <w:sz w:val="16"/>
              </w:rPr>
              <w:t>İçerik / konular</w:t>
            </w:r>
          </w:p>
        </w:tc>
        <w:tc>
          <w:tcPr>
            <w:tcW w:type="dxa" w:w="7257"/>
          </w:tcPr>
          <w:p>
            <w:pPr>
              <w:spacing w:after="20"/>
            </w:pPr>
            <w:r>
              <w:rPr>
                <w:sz w:val="16"/>
              </w:rPr>
              <w:t>Kendini İfade Etme Yolları; Duygusal Farkındalık ve Duygu Yönetimi; Duygusal Farkındalık ve Duygu YönetimiDuygusal Farkındalık ve Duygu YönetimiDuygusal Farkındalık ve Duygu Yönetimi</w:t>
            </w:r>
          </w:p>
        </w:tc>
      </w:tr>
      <w:tr>
        <w:tc>
          <w:tcPr>
            <w:tcW w:type="dxa" w:w="2268"/>
          </w:tcPr>
          <w:p>
            <w:pPr>
              <w:spacing w:after="20"/>
            </w:pPr>
            <w:r>
              <w:rPr>
                <w:sz w:val="16"/>
              </w:rPr>
              <w:t>Öğrenme çıktıları ve süreç bileşenleri</w:t>
            </w:r>
          </w:p>
        </w:tc>
        <w:tc>
          <w:tcPr>
            <w:tcW w:type="dxa" w:w="7257"/>
          </w:tcPr>
          <w:p>
            <w:pPr>
              <w:spacing w:after="20"/>
            </w:pPr>
            <w:r>
              <w:rPr>
                <w:sz w:val="16"/>
              </w:rPr>
              <w:t>TYB.1.1.1. Kendini ifade etme yollarını karşılaştırabilme b) Kendini ifade etme yollarına ilişkin benzerlikleri listeler.</w:t>
              <w:br/>
              <w:t>TYB.1.1.1. Kendini ifade etme yollarını karşılaştırabilme c) Kendini ifade etme yollarına ilişkin farklılıkları listeler.</w:t>
              <w:br/>
              <w:t>TYB.1.1.2. Duygularının günlük yaşamındaki etkilerini yansıtabilme a) Duygularının günlük yaşamdaki etkilerine ilişkin deneyimlerini gözden geçirir.</w:t>
              <w:br/>
              <w:t>TYB.1.1.2. Duygularının günlük yaşamındaki etkilerini yansıtabilme a) Duygularının günlük yaşamdaki etkilerine ilişkin deneyimlerini gözden geçirir.TYB.1.1.2. Duygularının günlük yaşamındaki etkilerini yansıtabilme a) Duygularının günlük yaşamdaki etkilerine ilişkin deneyimlerini gözden geçirir.TYB.1.1.2. Duygularının günlük yaşamındaki etkilerini yansıtabilme a) Duygularının günlük yaşamdaki etkilerine ilişkin deneyimlerini gözden geçirir.</w:t>
            </w:r>
          </w:p>
        </w:tc>
      </w:tr>
    </w:tbl>
    <w:p>
      <w:pPr>
        <w:pStyle w:val="Heading2"/>
      </w:pPr>
      <w:r>
        <w:t>2. BECERİLER, EĞİLİMLER VE PROGRAMLAR ARASI BİLEŞENLER</w:t>
      </w:r>
    </w:p>
    <w:tbl>
      <w:tblPr>
        <w:tblStyle w:val="TableGrid"/>
        <w:tblW w:type="auto" w:w="0"/>
        <w:tblLayout w:type="fixed"/>
        <w:tblLook w:firstColumn="1" w:firstRow="1" w:lastColumn="0" w:lastRow="0" w:noHBand="0" w:noVBand="1" w:val="04A0"/>
      </w:tblPr>
      <w:tblGrid>
        <w:gridCol w:w="2268"/>
        <w:gridCol w:w="7257"/>
      </w:tblGrid>
      <w:tr>
        <w:tc>
          <w:tcPr>
            <w:tcW w:type="dxa" w:w="2268"/>
          </w:tcPr>
          <w:p>
            <w:pPr>
              <w:spacing w:after="20"/>
            </w:pPr>
            <w:r>
              <w:rPr>
                <w:sz w:val="16"/>
              </w:rPr>
              <w:t>Alan ve kavramsal beceriler</w:t>
            </w:r>
          </w:p>
        </w:tc>
        <w:tc>
          <w:tcPr>
            <w:tcW w:type="dxa" w:w="7257"/>
          </w:tcPr>
          <w:p>
            <w:pPr>
              <w:spacing w:after="20"/>
            </w:pPr>
            <w:r>
              <w:rPr>
                <w:sz w:val="16"/>
              </w:rPr>
              <w:t>BTYAB6.1, KB2.7, KB2.15, KB2.17</w:t>
            </w:r>
          </w:p>
        </w:tc>
      </w:tr>
      <w:tr>
        <w:tc>
          <w:tcPr>
            <w:tcW w:type="dxa" w:w="2268"/>
          </w:tcPr>
          <w:p>
            <w:pPr>
              <w:spacing w:after="20"/>
            </w:pPr>
            <w:r>
              <w:rPr>
                <w:sz w:val="16"/>
              </w:rPr>
              <w:t>Eğilimler</w:t>
            </w:r>
          </w:p>
        </w:tc>
        <w:tc>
          <w:tcPr>
            <w:tcW w:type="dxa" w:w="7257"/>
          </w:tcPr>
          <w:p>
            <w:pPr>
              <w:spacing w:after="20"/>
            </w:pPr>
            <w:r>
              <w:rPr>
                <w:sz w:val="16"/>
              </w:rPr>
              <w:t>E1.1, E1.6, E2.1, E2.2, E3.2, E3.7, E3.9, E3.10</w:t>
            </w:r>
          </w:p>
        </w:tc>
      </w:tr>
      <w:tr>
        <w:tc>
          <w:tcPr>
            <w:tcW w:type="dxa" w:w="2268"/>
          </w:tcPr>
          <w:p>
            <w:pPr>
              <w:spacing w:after="20"/>
            </w:pPr>
            <w:r>
              <w:rPr>
                <w:sz w:val="16"/>
              </w:rPr>
              <w:t>Sosyal-duygusal öğrenme</w:t>
            </w:r>
          </w:p>
        </w:tc>
        <w:tc>
          <w:tcPr>
            <w:tcW w:type="dxa" w:w="7257"/>
          </w:tcPr>
          <w:p>
            <w:pPr>
              <w:spacing w:after="20"/>
            </w:pPr>
            <w:r>
              <w:rPr>
                <w:sz w:val="16"/>
              </w:rPr>
              <w:t>SDB1.1, SDB1.2, SDB1.3, SDB2.1, SDB2.2, SDB3.3</w:t>
            </w:r>
          </w:p>
        </w:tc>
      </w:tr>
      <w:tr>
        <w:tc>
          <w:tcPr>
            <w:tcW w:type="dxa" w:w="2268"/>
          </w:tcPr>
          <w:p>
            <w:pPr>
              <w:spacing w:after="20"/>
            </w:pPr>
            <w:r>
              <w:rPr>
                <w:sz w:val="16"/>
              </w:rPr>
              <w:t>Değerler</w:t>
            </w:r>
          </w:p>
        </w:tc>
        <w:tc>
          <w:tcPr>
            <w:tcW w:type="dxa" w:w="7257"/>
          </w:tcPr>
          <w:p>
            <w:pPr>
              <w:spacing w:after="20"/>
            </w:pPr>
            <w:r>
              <w:rPr>
                <w:sz w:val="16"/>
              </w:rPr>
              <w:t>D6, D12, D14, D16</w:t>
            </w:r>
          </w:p>
        </w:tc>
      </w:tr>
      <w:tr>
        <w:tc>
          <w:tcPr>
            <w:tcW w:type="dxa" w:w="2268"/>
          </w:tcPr>
          <w:p>
            <w:pPr>
              <w:spacing w:after="20"/>
            </w:pPr>
            <w:r>
              <w:rPr>
                <w:sz w:val="16"/>
              </w:rPr>
              <w:t>Okuryazarlık</w:t>
            </w:r>
          </w:p>
        </w:tc>
        <w:tc>
          <w:tcPr>
            <w:tcW w:type="dxa" w:w="7257"/>
          </w:tcPr>
          <w:p>
            <w:pPr>
              <w:spacing w:after="20"/>
            </w:pPr>
            <w:r>
              <w:rPr>
                <w:sz w:val="16"/>
              </w:rPr>
              <w:t>OB2</w:t>
            </w:r>
          </w:p>
        </w:tc>
      </w:tr>
    </w:tbl>
    <w:p>
      <w:pPr>
        <w:pStyle w:val="Heading2"/>
      </w:pPr>
      <w:r>
        <w:t>3. ÖĞRENME-ÖĞRETME SÜRECİ</w:t>
      </w:r>
    </w:p>
    <w:p>
      <w:r>
        <w:t>• Oluşturulan özellik çizelgelerinden hareketle sözlü, yazılı, görsel ve dijital ifade yollarının ortak yönleri (amaç, hedef kitle, açıklık) bulunarak listelenir ve tartışılır.</w:t>
      </w:r>
    </w:p>
    <w:p>
      <w:r>
        <w:t>• Öğrencilere farklı iletişim durumları verilerek en uygun ifade yolunu seçmeleri, seçmedikleri yolların neden daha az uygun kaldığını açıklayarak farklı yönleri listelemeleri istenir.</w:t>
      </w:r>
    </w:p>
    <w:p>
      <w:r>
        <w:t>• İfade yollarının farklı bağlamlarda farklı işlevler taşıdığı üzerine soru-cevap yapılarak saygılı dil kullanımının önemi vurgulanır. Süreç bütüncül puanlama anahtarıyla değerlendirilir.</w:t>
      </w:r>
    </w:p>
    <w:p>
      <w:r>
        <w:t>• Öğrenciler son bir haftadaki üç durumu zaman sırasına göre yazar. Olay, duygu, tepki ve etki ögelerini ayırarak ilişki kurar, konuşma halkası tekniğiyle saygılı biçimde paylaşır.</w:t>
      </w:r>
    </w:p>
    <w:p>
      <w:r>
        <w:t>• Yaşanan duygular adlandırılarak, bu duyguların bedendeki ve davranıştaki yansımaları üzerine odaklanılır, günlük yaşam faktörlerinin duygular üzerindeki etkileri tartışılır.Yaşanan duygular adlandırılarak, bu duyguların bedendeki ve davranıştaki yansımaları üzerine odaklanılır, günlük yaşam faktörlerinin duygular üzerindeki etkileri tartışılır.Yaşanan duygular adlandırılarak, bu duyguların bedendeki ve davranıştaki yansımaları üzerine odaklanılır, günlük yaşam faktörlerinin duygular üzerindeki etkileri tartışılır.</w:t>
      </w:r>
    </w:p>
    <w:p>
      <w:pPr>
        <w:pStyle w:val="Heading2"/>
      </w:pPr>
      <w:r>
        <w:t>4. ARAŞTIRMA, PERFORMANS VE UYGULAMA GÖREVLERİ</w:t>
      </w:r>
    </w:p>
    <w:p>
      <w:r>
        <w:t>Öğrencilerin günlük yaşamla bağlantı kurabilmeleri amacıyla ilgili öğrenme alanına uygun gözlem, sınıflandırma, karşılaştırma, veri kaydetme ve ürün oluşturma çalışmaları planlandı. Görevlerde öğrenci katılımı, sorumluluk ve iş birliği esas alındı.</w:t>
      </w:r>
    </w:p>
    <w:p>
      <w:pPr>
        <w:pStyle w:val="Heading2"/>
      </w:pPr>
      <w:r>
        <w:t>5. GÖZLEM, ÖLÇME VE DEĞERLENDİRME</w:t>
      </w:r>
    </w:p>
    <w:p>
      <w:r>
        <w:t>• Gözlem formu, kontrol listesi, karşılaştırma etkinlikleri, veri kayıt tabloları, akış şeması, çalışma kağıdı, öz değerlendirme formu, akran değerlendirme formu, analitik dereceli puanlama anahtarı ve performans görevi</w:t>
      </w:r>
    </w:p>
    <w:p>
      <w:r>
        <w:t>• Gözlem formu, kontrol listesi, karşılaştırma etkinlikleri, veri kayıt tabloları, akış şeması, çalışma kağıdı, öz değerlendirme formu, akran değerlendirme formu, analitik dereceli puanlama anahtarı ve performans göreviGözlem formu, kontrol listesi, karşılaştırma etkinlikleri, veri kayıt tabloları, akış şeması, çalışma kağıdı, öz değerlendirme formu, akran değerlendirme formu, analitik dereceli puanlama anahtarı ve performans göreviGözlem formu, kontrol listesi, karşılaştırma etkinlikleri, veri kayıt tabloları, akış şeması, çalışma kağıdı, öz değerlendirme formu, akran değerlendirme formu, analitik dereceli puanlama anahtarı ve performans görevi</w:t>
      </w:r>
    </w:p>
    <w:p>
      <w:pPr>
        <w:pStyle w:val="Heading2"/>
      </w:pPr>
      <w:r>
        <w:t>6. FARKLILAŞTIRMA (ZENGİNLEŞTİRME VE DESTEKLEME)</w:t>
      </w:r>
    </w:p>
    <w:p>
      <w:r>
        <w:t>• Zenginleştirme: Farklı kültürlerde selamlaşmanın jest ve mimiklerle nasıl ifade edildiğini araştırma. Destekleme: Örnek durumları uygun ifade yollarıyla eşleştirme tablosu hazırlama.</w:t>
      </w:r>
    </w:p>
    <w:p>
      <w:r>
        <w:t>• Zenginleştirme: Seçilen bir duygunun fiziksel etkilerini anlatan hikâye yazma. Destekleme: Günlük yaşamdan kısa olayları olumlu/olumsuz duygu etkilerine göre sınıflandırma.</w:t>
      </w:r>
    </w:p>
    <w:p>
      <w:r>
        <w:t>• Zenginleştirme: Seçilen bir duygunun fiziksel etkilerini anlatan hikâye yazma. Destekleme: Günlük yaşamdan kısa olayları olumlu/olumsuz duygu etkilerine göre sınıflandırma.Zenginleştirme: Seçilen bir duygunun fiziksel etkilerini anlatan hikâye yazma. Destekleme: Günlük yaşamdan kısa olayları olumlu/olumsuz duygu etkilerine göre sınıflandırma.Zenginleştirme: Seçilen bir duygunun fiziksel etkilerini anlatan hikâye yazma. Destekleme: Günlük yaşamdan kısa olayları olumlu/olumsuz duygu etkilerine göre sınıflandırma.</w:t>
      </w:r>
    </w:p>
    <w:p>
      <w:pPr>
        <w:pStyle w:val="Heading2"/>
      </w:pPr>
      <w:r>
        <w:t>7. AYLIK GENEL DEĞERLENDİRME</w:t>
      </w:r>
    </w:p>
    <w:p>
      <w:r>
        <w:t>Bu ayın yıllık plan kapsamındaki öğrenme çıktıları doğrultusunda günlük yaşamla ilişkilendirilen etkinlikler, uygulama örnekleri ve süreç odaklı değerlendirme araçları esas alındı. Öğrencilerin bireysel farklılıklarına uygun destekleme ve zenginleştirme çalışmaları gözetildi. Gerçekleşen uygulamalar ve öğrenci gelişimine ilişkin somut gözlemler, okul kayıtları doğrultusunda rapor tesliminden önce öğretmen tarafından tamamlanmalıdır.</w:t>
      </w:r>
    </w:p>
    <w:p/>
    <w:tbl>
      <w:tblPr>
        <w:tblW w:type="auto" w:w="0"/>
        <w:tblLook w:firstColumn="1" w:firstRow="1" w:lastColumn="0" w:lastRow="0" w:noHBand="0" w:noVBand="1" w:val="04A0"/>
      </w:tblPr>
      <w:tblGrid>
        <w:gridCol w:w="4986"/>
        <w:gridCol w:w="4986"/>
      </w:tblGrid>
      <w:tr>
        <w:tc>
          <w:tcPr>
            <w:tcW w:type="dxa" w:w="4986"/>
          </w:tcPr>
          <w:p>
            <w:pPr>
              <w:jc w:val="center"/>
            </w:pPr>
            <w:r>
              <w:t>Ders Öğretmeni</w:t>
            </w:r>
          </w:p>
        </w:tc>
        <w:tc>
          <w:tcPr>
            <w:tcW w:type="dxa" w:w="4986"/>
          </w:tcPr>
          <w:p>
            <w:pPr>
              <w:jc w:val="center"/>
            </w:pPr>
            <w:r>
              <w:t>Okul Müdürü</w:t>
            </w:r>
          </w:p>
        </w:tc>
      </w:tr>
      <w:tr>
        <w:tc>
          <w:tcPr>
            <w:tcW w:type="dxa" w:w="4986"/>
          </w:tcPr>
          <w:p>
            <w:pPr>
              <w:jc w:val="center"/>
            </w:pPr>
            <w:r>
              <w:t>Adı Soyadı / İmza</w:t>
            </w:r>
          </w:p>
        </w:tc>
        <w:tc>
          <w:tcPr>
            <w:tcW w:type="dxa" w:w="4986"/>
          </w:tcPr>
          <w:p>
            <w:pPr>
              <w:jc w:val="center"/>
            </w:pPr>
            <w:r>
              <w:t>Adı Soyadı / İmza</w:t>
            </w:r>
          </w:p>
        </w:tc>
      </w:tr>
    </w:tbl>
    <w:sectPr w:rsidR="00FC693F" w:rsidRPr="0006063C" w:rsidSect="00034616">
      <w:pgSz w:w="12240" w:h="15840"/>
      <w:pgMar w:top="907" w:right="1134" w:bottom="8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Arial" w:hAnsi="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ascii="Arial" w:hAnsi="Arial"/>
      <w:b/>
      <w:bCs/>
      <w:color w:val="19374F"/>
      <w:sz w:val="20"/>
      <w:szCs w:val="28"/>
    </w:rPr>
  </w:style>
  <w:style w:type="paragraph" w:styleId="Heading2">
    <w:name w:val="heading 2"/>
    <w:basedOn w:val="Normal"/>
    <w:next w:val="Normal"/>
    <w:link w:val="Heading2Char"/>
    <w:uiPriority w:val="9"/>
    <w:unhideWhenUsed/>
    <w:qFormat/>
    <w:rsid w:val="00FC693F"/>
    <w:pPr>
      <w:keepNext/>
      <w:keepLines/>
      <w:spacing w:before="160" w:after="80"/>
      <w:outlineLvl w:val="1"/>
    </w:pPr>
    <w:rPr>
      <w:rFonts w:asciiTheme="majorHAnsi" w:eastAsiaTheme="majorEastAsia" w:hAnsiTheme="majorHAnsi" w:cstheme="majorBidi" w:ascii="Arial" w:hAnsi="Arial"/>
      <w:b/>
      <w:bCs/>
      <w:color w:val="19374F"/>
      <w:sz w:val="20"/>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