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spacing w:before="0" w:after="60"/>
      </w:pPr>
      <w:r>
        <w:rPr>
          <w:rFonts w:ascii="Calibri" w:hAnsi="Calibri"/>
          <w:b/>
          <w:i w:val="0"/>
          <w:color w:val="228B22"/>
          <w:sz w:val="22"/>
        </w:rPr>
        <w:t>2025-2026 EĞİTİM ÖĞRETİM YILI  MERYEM-MEHMET KAPLAN KIZ ANADOLU İMAM HATİP LİSESİ</w:t>
        <w:br/>
        <w:t>SOSYAL BİLGİLER DERSİ  2. DÖNEM   2. YAZILI SINAVI  –  CEVAP ANAHTARI</w:t>
      </w:r>
    </w:p>
    <w:p>
      <w:pPr>
        <w:spacing w:before="80" w:after="40"/>
        <w:pBdr>
          <w:left w:val="single" w:sz="12" w:space="4" w:color="228B22"/>
        </w:pBdr>
        <w:shd w:val="clear" w:color="auto" w:fill="F0F0F0"/>
      </w:pPr>
      <w:r>
        <w:rPr>
          <w:rFonts w:ascii="Calibri" w:hAnsi="Calibri"/>
          <w:b/>
          <w:color w:val="3C3C3C"/>
          <w:sz w:val="17"/>
        </w:rPr>
        <w:t>✍ Soruyu cevaplayınız.</w:t>
      </w:r>
    </w:p>
    <w:p>
      <w:pPr>
        <w:spacing w:before="60" w:after="20" w:line="240" w:lineRule="auto"/>
      </w:pPr>
      <w:r>
        <w:rPr>
          <w:rFonts w:ascii="Calibri" w:hAnsi="Calibri"/>
          <w:b/>
          <w:i w:val="0"/>
          <w:color w:val="141414"/>
          <w:sz w:val="18"/>
        </w:rPr>
        <w:t xml:space="preserve">1) </w:t>
      </w:r>
      <w:r>
        <w:rPr>
          <w:rFonts w:ascii="Calibri" w:hAnsi="Calibri"/>
          <w:b/>
          <w:i w:val="0"/>
          <w:color w:val="141414"/>
          <w:sz w:val="18"/>
        </w:rPr>
        <w:t>Mert, biriktirdiği harçlıklarıyla mahalledeki kırtasiyeden yeni bir boya kalemi seti alır. Eve gelip kalemleri denediğinde bazılarının ucu kırık ve kurumuş olduğunu fark eder. Mert'in elinde alışveriş sırasında aldığı faturası bulunmaktadır.</w:t>
      </w:r>
      <w:r>
        <w:rPr>
          <w:rFonts w:ascii="Calibri" w:hAnsi="Calibri"/>
          <w:b w:val="0"/>
          <w:i/>
          <w:color w:val="8B0000"/>
          <w:sz w:val="15"/>
        </w:rPr>
        <w:t xml:space="preserve">  [15 Puan | SB.5.4.2.]</w:t>
      </w:r>
    </w:p>
    <w:p>
      <w:pPr>
        <w:spacing w:before="0" w:after="0" w:line="240" w:lineRule="auto"/>
      </w:pPr>
      <w:r>
        <w:rPr>
          <w:rFonts w:ascii="Calibri" w:hAnsi="Calibri"/>
          <w:b w:val="0"/>
          <w:i w:val="0"/>
          <w:color w:val="141414"/>
          <w:sz w:val="18"/>
        </w:rPr>
        <w:t xml:space="preserve">    Mert "etkin bir vatandaş" olarak bu durumda ne yapmalıdır ve neden?</w:t>
      </w:r>
    </w:p>
    <w:p>
      <w:pPr>
        <w:spacing w:before="40" w:after="80" w:line="240" w:lineRule="auto"/>
      </w:pPr>
      <w:r>
        <w:rPr>
          <w:rFonts w:ascii="Calibri" w:hAnsi="Calibri"/>
          <w:b/>
          <w:i w:val="0"/>
          <w:color w:val="008000"/>
          <w:sz w:val="18"/>
        </w:rPr>
        <w:t xml:space="preserve">[ CEVAP ] </w:t>
      </w:r>
      <w:r>
        <w:rPr>
          <w:rFonts w:ascii="Calibri" w:hAnsi="Calibri"/>
          <w:b w:val="0"/>
          <w:i w:val="0"/>
          <w:color w:val="008000"/>
          <w:sz w:val="18"/>
        </w:rPr>
        <w:t>Mert, bilinçli bir tüketici olarak faturasıyla birlikte kırtasiyeye geri gitmelidir. Ürünün ayıplı (bozuk) olduğunu belirterek değişim veya iade hakkını kullanmalıdır. Eğer kırtasiye sahibi bu talebi kabul etmezse, Mert hakkını aramak için Tüketici Hakem Heyetine başvurabileceğini bilmelidir. Çünkü etkin vatandaş, haklarını bilen ve sorumlulukları ölçüsünde bu haklarını arayan kişidir</w:t>
      </w:r>
    </w:p>
    <w:p>
      <w:pPr>
        <w:spacing w:before="60" w:after="20" w:line="240" w:lineRule="auto"/>
      </w:pPr>
      <w:r>
        <w:rPr>
          <w:rFonts w:ascii="Calibri" w:hAnsi="Calibri"/>
          <w:b/>
          <w:i w:val="0"/>
          <w:color w:val="141414"/>
          <w:sz w:val="18"/>
        </w:rPr>
        <w:t xml:space="preserve">2) </w:t>
      </w:r>
      <w:r>
        <w:rPr>
          <w:rFonts w:ascii="Calibri" w:hAnsi="Calibri"/>
          <w:b/>
          <w:i w:val="0"/>
          <w:color w:val="141414"/>
          <w:sz w:val="18"/>
        </w:rPr>
        <w:t>Beşinci sınıf öğrencisi Elif, teneffüste arkadaşı Selin’in komik bir fotoğrafını çeker ve Selin’den izin almadan sınıf grubunda paylaşır. Selin bu duruma çok üzülür ve fotoğrafın silinmesini ister.</w:t>
      </w:r>
      <w:r>
        <w:rPr>
          <w:rFonts w:ascii="Calibri" w:hAnsi="Calibri"/>
          <w:b w:val="0"/>
          <w:i/>
          <w:color w:val="8B0000"/>
          <w:sz w:val="15"/>
        </w:rPr>
        <w:t xml:space="preserve">  [15 Puan | SB.5.4.3.]</w:t>
      </w:r>
    </w:p>
    <w:p>
      <w:pPr>
        <w:spacing w:before="0" w:after="0" w:line="240" w:lineRule="auto"/>
      </w:pPr>
      <w:r>
        <w:rPr>
          <w:rFonts w:ascii="Calibri" w:hAnsi="Calibri"/>
          <w:b w:val="0"/>
          <w:i w:val="0"/>
          <w:color w:val="141414"/>
          <w:sz w:val="18"/>
        </w:rPr>
        <w:t xml:space="preserve">    Elif, Selin’in hangi temel hakkını ihlal etmiştir ve notlardaki uyarıya göre özgürlüğünü kullanırken neyi unutmuştur?</w:t>
      </w:r>
    </w:p>
    <w:p>
      <w:pPr>
        <w:spacing w:before="40" w:after="80" w:line="240" w:lineRule="auto"/>
      </w:pPr>
      <w:r>
        <w:rPr>
          <w:rFonts w:ascii="Calibri" w:hAnsi="Calibri"/>
          <w:b/>
          <w:i w:val="0"/>
          <w:color w:val="008000"/>
          <w:sz w:val="18"/>
        </w:rPr>
        <w:t xml:space="preserve">[ CEVAP ] </w:t>
      </w:r>
      <w:r>
        <w:rPr>
          <w:rFonts w:ascii="Calibri" w:hAnsi="Calibri"/>
          <w:b w:val="0"/>
          <w:i w:val="0"/>
          <w:color w:val="008000"/>
          <w:sz w:val="18"/>
        </w:rPr>
        <w:t>Elif, Selin’in özel hayatın gizliliği hakkını ihlal etmiştir. Elif, notlardaki "özgürlüğümüz bir başkasının hakkının başladığı yerde biter" kuralını unutmuş; kendi fotoğraf çekme özgürlüğünü kullanırken başkasının hakkına saygı gösterme sorumluluğunu yerine getirmemiştir.</w:t>
      </w:r>
    </w:p>
    <w:p>
      <w:pPr>
        <w:spacing w:before="60" w:after="20" w:line="240" w:lineRule="auto"/>
      </w:pPr>
      <w:r>
        <w:rPr>
          <w:rFonts w:ascii="Calibri" w:hAnsi="Calibri"/>
          <w:b/>
          <w:i w:val="0"/>
          <w:color w:val="141414"/>
          <w:sz w:val="18"/>
        </w:rPr>
        <w:t xml:space="preserve">3) </w:t>
      </w:r>
      <w:r>
        <w:rPr>
          <w:rFonts w:ascii="Calibri" w:hAnsi="Calibri"/>
          <w:b/>
          <w:i w:val="0"/>
          <w:color w:val="141414"/>
          <w:sz w:val="18"/>
        </w:rPr>
        <w:t>Yaşadığın çevrede sokakların çok kirlendiğini ve çöplerin günlerdir toplanmadığını fark ettin. Bu sorunun çözülmesi için hangi yöneticiye haber vermen gerekir? Nedenini kısaca açıklayınız.</w:t>
      </w:r>
      <w:r>
        <w:rPr>
          <w:rFonts w:ascii="Calibri" w:hAnsi="Calibri"/>
          <w:b w:val="0"/>
          <w:i/>
          <w:color w:val="8B0000"/>
          <w:sz w:val="15"/>
        </w:rPr>
        <w:t xml:space="preserve">  [10 Puan | SB.5.4.4.]</w:t>
      </w:r>
    </w:p>
    <w:p>
      <w:pPr>
        <w:spacing w:before="40" w:after="80" w:line="240" w:lineRule="auto"/>
      </w:pPr>
      <w:r>
        <w:rPr>
          <w:rFonts w:ascii="Calibri" w:hAnsi="Calibri"/>
          <w:b/>
          <w:i w:val="0"/>
          <w:color w:val="008000"/>
          <w:sz w:val="18"/>
        </w:rPr>
        <w:t xml:space="preserve">[ CEVAP ] </w:t>
      </w:r>
      <w:r>
        <w:rPr>
          <w:rFonts w:ascii="Calibri" w:hAnsi="Calibri"/>
          <w:b w:val="0"/>
          <w:i w:val="0"/>
          <w:color w:val="008000"/>
          <w:sz w:val="18"/>
        </w:rPr>
        <w:t>Belediye Başkanı'na haber vermem gerekir. Çünkü çöplerin toplanması, yolların temizlenmesi ve halk sağlığının korunması gibi temel hizmetleri yapmak belediyenin görevidir.</w:t>
      </w:r>
    </w:p>
    <w:p>
      <w:pPr>
        <w:spacing w:before="80" w:after="40"/>
        <w:pBdr>
          <w:left w:val="single" w:sz="12" w:space="4" w:color="228B22"/>
        </w:pBdr>
        <w:shd w:val="clear" w:color="auto" w:fill="F0F0F0"/>
      </w:pPr>
      <w:r>
        <w:rPr>
          <w:rFonts w:ascii="Calibri" w:hAnsi="Calibri"/>
          <w:b/>
          <w:color w:val="3C3C3C"/>
          <w:sz w:val="17"/>
        </w:rPr>
        <w:t>▦ İstenen bilgileri tabloya yazınız.</w:t>
      </w:r>
    </w:p>
    <w:p>
      <w:pPr>
        <w:spacing w:before="60" w:after="20" w:line="240" w:lineRule="auto"/>
      </w:pPr>
      <w:r>
        <w:rPr>
          <w:rFonts w:ascii="Calibri" w:hAnsi="Calibri"/>
          <w:b/>
          <w:i w:val="0"/>
          <w:color w:val="141414"/>
          <w:sz w:val="18"/>
        </w:rPr>
        <w:t xml:space="preserve">4) </w:t>
      </w:r>
      <w:r>
        <w:rPr>
          <w:rFonts w:ascii="Calibri" w:hAnsi="Calibri"/>
          <w:b/>
          <w:i w:val="0"/>
          <w:color w:val="141414"/>
          <w:sz w:val="18"/>
        </w:rPr>
        <w:t>Aşağıdaki görev tanımlarını ilgili yönetici ile eşleştiriniz.</w:t>
      </w:r>
      <w:r>
        <w:rPr>
          <w:rFonts w:ascii="Calibri" w:hAnsi="Calibri"/>
          <w:b w:val="0"/>
          <w:i/>
          <w:color w:val="8B0000"/>
          <w:sz w:val="15"/>
        </w:rPr>
        <w:t xml:space="preserve">  [10 Puan | SB.5.4.4.]</w:t>
      </w:r>
    </w:p>
    <w:p>
      <w:pPr>
        <w:spacing w:before="40" w:after="80" w:line="240" w:lineRule="auto"/>
        <w:spacing w:before="40" w:after="40"/>
      </w:pPr>
      <w:r>
        <w:rPr>
          <w:rFonts w:ascii="Calibri" w:hAnsi="Calibri"/>
          <w:b/>
          <w:i w:val="0"/>
          <w:color w:val="008000"/>
          <w:sz w:val="18"/>
        </w:rPr>
        <w:t>[ CEVAP TABLOSU ]</w:t>
        <w:br/>
      </w:r>
    </w:p>
    <w:tbl>
      <w:tblPr>
        <w:tblStyle w:val="TableGrid"/>
        <w:tblW w:type="auto" w:w="0"/>
        <w:tblLayout w:type="autofit"/>
        <w:tblLook w:firstColumn="1" w:firstRow="1" w:lastColumn="0" w:lastRow="0" w:noHBand="0" w:noVBand="1" w:val="04A0"/>
      </w:tblPr>
      <w:tblGrid>
        <w:gridCol w:w="5613"/>
        <w:gridCol w:w="5613"/>
      </w:tblGrid>
      <w:tr>
        <w:tc>
          <w:tcPr>
            <w:tcW w:type="dxa" w:w="5613"/>
            <w:shd w:val="clear" w:color="auto" w:fill="EAEAEA"/>
            <w:vAlign w:val="center"/>
          </w:tcPr>
          <w:p>
            <w:pPr>
              <w:jc w:val="center"/>
            </w:pPr>
            <w:r>
              <w:rPr>
                <w:b/>
                <w:sz w:val="17"/>
              </w:rPr>
              <w:t>Görev Tanımı</w:t>
            </w:r>
          </w:p>
        </w:tc>
        <w:tc>
          <w:tcPr>
            <w:tcW w:type="dxa" w:w="5613"/>
            <w:shd w:val="clear" w:color="auto" w:fill="EAEAEA"/>
            <w:vAlign w:val="center"/>
          </w:tcPr>
          <w:p>
            <w:pPr>
              <w:jc w:val="center"/>
            </w:pPr>
            <w:r>
              <w:rPr>
                <w:b/>
                <w:sz w:val="17"/>
              </w:rPr>
              <w:t>Yönetici</w:t>
            </w:r>
          </w:p>
        </w:tc>
      </w:tr>
      <w:tr>
        <w:tc>
          <w:tcPr>
            <w:tcW w:type="dxa" w:w="5613"/>
            <w:vAlign w:val="center"/>
            <w:shd w:val="clear" w:color="auto" w:fill="FAFAFA"/>
          </w:tcPr>
          <w:p>
            <w:r>
              <w:rPr>
                <w:sz w:val="17"/>
              </w:rPr>
              <w:t>İlçedeki tüm devlet dairelerini denetlemek.</w:t>
            </w:r>
          </w:p>
        </w:tc>
        <w:tc>
          <w:tcPr>
            <w:tcW w:type="dxa" w:w="5613"/>
            <w:vAlign w:val="center"/>
          </w:tcPr>
          <w:p>
            <w:pPr>
              <w:jc w:val="center"/>
            </w:pPr>
            <w:r>
              <w:rPr>
                <w:rFonts w:ascii="Calibri" w:hAnsi="Calibri"/>
                <w:b/>
                <w:color w:val="008000"/>
                <w:sz w:val="18"/>
              </w:rPr>
              <w:t>Kaymakam</w:t>
            </w:r>
          </w:p>
        </w:tc>
      </w:tr>
      <w:tr>
        <w:tc>
          <w:tcPr>
            <w:tcW w:type="dxa" w:w="5613"/>
            <w:vAlign w:val="center"/>
            <w:shd w:val="clear" w:color="auto" w:fill="FAFAFA"/>
          </w:tcPr>
          <w:p>
            <w:r>
              <w:rPr>
                <w:sz w:val="17"/>
              </w:rPr>
              <w:t>İlin kalkınması için bakanlıklarla iş birliği yapmak.</w:t>
            </w:r>
          </w:p>
        </w:tc>
        <w:tc>
          <w:tcPr>
            <w:tcW w:type="dxa" w:w="5613"/>
            <w:vAlign w:val="center"/>
          </w:tcPr>
          <w:p>
            <w:pPr>
              <w:jc w:val="center"/>
            </w:pPr>
            <w:r>
              <w:rPr>
                <w:rFonts w:ascii="Calibri" w:hAnsi="Calibri"/>
                <w:b/>
                <w:color w:val="008000"/>
                <w:sz w:val="18"/>
              </w:rPr>
              <w:t>Vali</w:t>
            </w:r>
          </w:p>
        </w:tc>
      </w:tr>
      <w:tr>
        <w:tc>
          <w:tcPr>
            <w:tcW w:type="dxa" w:w="5613"/>
            <w:vAlign w:val="center"/>
            <w:shd w:val="clear" w:color="auto" w:fill="FAFAFA"/>
          </w:tcPr>
          <w:p>
            <w:r>
              <w:rPr>
                <w:sz w:val="17"/>
              </w:rPr>
              <w:t>İtfaiye hizmetlerinin sunulmasını sağlamak.</w:t>
            </w:r>
          </w:p>
        </w:tc>
        <w:tc>
          <w:tcPr>
            <w:tcW w:type="dxa" w:w="5613"/>
            <w:vAlign w:val="center"/>
          </w:tcPr>
          <w:p>
            <w:pPr>
              <w:jc w:val="center"/>
            </w:pPr>
            <w:r>
              <w:rPr>
                <w:rFonts w:ascii="Calibri" w:hAnsi="Calibri"/>
                <w:b/>
                <w:color w:val="008000"/>
                <w:sz w:val="18"/>
              </w:rPr>
              <w:t>Belediye Başkanı</w:t>
            </w:r>
          </w:p>
        </w:tc>
      </w:tr>
      <w:tr>
        <w:tc>
          <w:tcPr>
            <w:tcW w:type="dxa" w:w="5613"/>
            <w:vAlign w:val="center"/>
            <w:shd w:val="clear" w:color="auto" w:fill="FAFAFA"/>
          </w:tcPr>
          <w:p>
            <w:r>
              <w:rPr>
                <w:sz w:val="17"/>
              </w:rPr>
              <w:t>Mahalledeki ihtiyaç sahiplerini gerekli yerlere bildirmek</w:t>
            </w:r>
          </w:p>
        </w:tc>
        <w:tc>
          <w:tcPr>
            <w:tcW w:type="dxa" w:w="5613"/>
            <w:vAlign w:val="center"/>
          </w:tcPr>
          <w:p>
            <w:pPr>
              <w:jc w:val="center"/>
            </w:pPr>
            <w:r>
              <w:rPr>
                <w:rFonts w:ascii="Calibri" w:hAnsi="Calibri"/>
                <w:b/>
                <w:color w:val="008000"/>
                <w:sz w:val="18"/>
              </w:rPr>
              <w:t>Muhtar</w:t>
            </w:r>
          </w:p>
        </w:tc>
      </w:tr>
    </w:tbl>
    <w:p>
      <w:pPr>
        <w:spacing w:before="40" w:after="40"/>
      </w:pPr>
    </w:p>
    <w:p>
      <w:pPr>
        <w:spacing w:before="80" w:after="40"/>
        <w:pBdr>
          <w:left w:val="single" w:sz="12" w:space="4" w:color="228B22"/>
        </w:pBdr>
        <w:shd w:val="clear" w:color="auto" w:fill="F0F0F0"/>
      </w:pPr>
      <w:r>
        <w:rPr>
          <w:rFonts w:ascii="Calibri" w:hAnsi="Calibri"/>
          <w:b/>
          <w:color w:val="3C3C3C"/>
          <w:sz w:val="17"/>
        </w:rPr>
        <w:t>☐ Kutucukları kullanarak cevaplayınız.</w:t>
      </w:r>
    </w:p>
    <w:p>
      <w:pPr>
        <w:spacing w:before="60" w:after="20" w:line="240" w:lineRule="auto"/>
      </w:pPr>
      <w:r>
        <w:rPr>
          <w:rFonts w:ascii="Calibri" w:hAnsi="Calibri"/>
          <w:b/>
          <w:i w:val="0"/>
          <w:color w:val="141414"/>
          <w:sz w:val="18"/>
        </w:rPr>
        <w:t xml:space="preserve">5) </w:t>
      </w:r>
      <w:r>
        <w:rPr>
          <w:rFonts w:ascii="Calibri" w:hAnsi="Calibri"/>
          <w:b/>
          <w:i w:val="0"/>
          <w:color w:val="141414"/>
          <w:sz w:val="18"/>
        </w:rPr>
        <w:t>Kutucuklarda doğal kaynaklar, enerji türleri ve tasarruf kavramları numaralandırılmıştır. Soruların cevaplarını kutucuk numaralarını kullanarak veriniz.</w:t>
      </w:r>
      <w:r>
        <w:rPr>
          <w:rFonts w:ascii="Calibri" w:hAnsi="Calibri"/>
          <w:b w:val="0"/>
          <w:i/>
          <w:color w:val="8B0000"/>
          <w:sz w:val="15"/>
        </w:rPr>
        <w:t xml:space="preserve">  [10 Puan | SB.5.5.1.]</w:t>
      </w:r>
    </w:p>
    <w:tbl>
      <w:tblPr>
        <w:tblStyle w:val="TableGrid"/>
        <w:tblW w:type="auto" w:w="0"/>
        <w:tblLook w:firstColumn="1" w:firstRow="1" w:lastColumn="0" w:lastRow="0" w:noHBand="0" w:noVBand="1" w:val="04A0"/>
      </w:tblPr>
      <w:tblGrid>
        <w:gridCol w:w="2806"/>
        <w:gridCol w:w="2806"/>
        <w:gridCol w:w="2806"/>
        <w:gridCol w:w="2806"/>
      </w:tblGrid>
      <w:tr>
        <w:tc>
          <w:tcPr>
            <w:tcW w:type="dxa" w:w="2806"/>
            <w:shd w:val="clear" w:color="auto" w:fill="FAFAFA"/>
            <w:vAlign w:val="center"/>
          </w:tcPr>
          <w:p>
            <w:pPr>
              <w:jc w:val="left"/>
              <w:spacing w:before="20" w:after="20"/>
            </w:pPr>
            <w:r>
              <w:t>1. Güneş</w:t>
            </w:r>
          </w:p>
        </w:tc>
        <w:tc>
          <w:tcPr>
            <w:tcW w:type="dxa" w:w="2806"/>
            <w:shd w:val="clear" w:color="auto" w:fill="FAFAFA"/>
            <w:vAlign w:val="center"/>
          </w:tcPr>
          <w:p>
            <w:pPr>
              <w:jc w:val="left"/>
              <w:spacing w:before="20" w:after="20"/>
            </w:pPr>
            <w:r>
              <w:t>2. Kömür</w:t>
            </w:r>
          </w:p>
        </w:tc>
        <w:tc>
          <w:tcPr>
            <w:tcW w:type="dxa" w:w="2806"/>
            <w:shd w:val="clear" w:color="auto" w:fill="FAFAFA"/>
            <w:vAlign w:val="center"/>
          </w:tcPr>
          <w:p>
            <w:pPr>
              <w:jc w:val="left"/>
              <w:spacing w:before="20" w:after="20"/>
            </w:pPr>
            <w:r>
              <w:t>3. Bor Madeni</w:t>
            </w:r>
          </w:p>
        </w:tc>
        <w:tc>
          <w:tcPr>
            <w:tcW w:type="dxa" w:w="2806"/>
            <w:shd w:val="clear" w:color="auto" w:fill="FAFAFA"/>
            <w:vAlign w:val="center"/>
          </w:tcPr>
          <w:p>
            <w:pPr>
              <w:jc w:val="left"/>
              <w:spacing w:before="20" w:after="20"/>
            </w:pPr>
            <w:r>
              <w:t>4. Rüzgâr</w:t>
            </w:r>
          </w:p>
        </w:tc>
      </w:tr>
      <w:tr>
        <w:tc>
          <w:tcPr>
            <w:tcW w:type="dxa" w:w="2806"/>
            <w:shd w:val="clear" w:color="auto" w:fill="FAFAFA"/>
            <w:vAlign w:val="center"/>
          </w:tcPr>
          <w:p>
            <w:pPr>
              <w:jc w:val="left"/>
              <w:spacing w:before="20" w:after="20"/>
            </w:pPr>
            <w:r>
              <w:t>5. Petrol</w:t>
            </w:r>
          </w:p>
        </w:tc>
        <w:tc>
          <w:tcPr>
            <w:tcW w:type="dxa" w:w="2806"/>
            <w:shd w:val="clear" w:color="auto" w:fill="FAFAFA"/>
            <w:vAlign w:val="center"/>
          </w:tcPr>
          <w:p>
            <w:pPr>
              <w:jc w:val="left"/>
              <w:spacing w:before="20" w:after="20"/>
            </w:pPr>
            <w:r>
              <w:t>6. Ormanlar</w:t>
            </w:r>
          </w:p>
        </w:tc>
        <w:tc>
          <w:tcPr>
            <w:tcW w:type="dxa" w:w="2806"/>
            <w:shd w:val="clear" w:color="auto" w:fill="FAFAFA"/>
            <w:vAlign w:val="center"/>
          </w:tcPr>
          <w:p>
            <w:pPr>
              <w:jc w:val="left"/>
              <w:spacing w:before="20" w:after="20"/>
            </w:pPr>
            <w:r>
              <w:t>7. Doğal Gaz</w:t>
            </w:r>
          </w:p>
        </w:tc>
        <w:tc>
          <w:tcPr>
            <w:tcW w:type="dxa" w:w="2806"/>
            <w:shd w:val="clear" w:color="auto" w:fill="FAFAFA"/>
            <w:vAlign w:val="center"/>
          </w:tcPr>
          <w:p>
            <w:pPr>
              <w:jc w:val="left"/>
              <w:spacing w:before="20" w:after="20"/>
            </w:pPr>
            <w:r>
              <w:t>8. Su</w:t>
            </w:r>
          </w:p>
        </w:tc>
      </w:tr>
      <w:tr>
        <w:tc>
          <w:tcPr>
            <w:tcW w:type="dxa" w:w="2806"/>
            <w:shd w:val="clear" w:color="auto" w:fill="FAFAFA"/>
            <w:vAlign w:val="center"/>
          </w:tcPr>
          <w:p>
            <w:pPr>
              <w:jc w:val="left"/>
              <w:spacing w:before="20" w:after="20"/>
            </w:pPr>
            <w:r>
              <w:t>9. 5D Modeli</w:t>
            </w:r>
          </w:p>
        </w:tc>
        <w:tc>
          <w:tcPr>
            <w:tcW w:type="dxa" w:w="2806"/>
          </w:tcPr>
          <w:p/>
        </w:tc>
        <w:tc>
          <w:tcPr>
            <w:tcW w:type="dxa" w:w="2806"/>
          </w:tcPr>
          <w:p/>
        </w:tc>
        <w:tc>
          <w:tcPr>
            <w:tcW w:type="dxa" w:w="2806"/>
          </w:tcPr>
          <w:p/>
        </w:tc>
      </w:tr>
    </w:tbl>
    <w:p>
      <w:pPr>
        <w:spacing w:before="40" w:after="80" w:line="240" w:lineRule="auto"/>
      </w:pPr>
      <w:r>
        <w:rPr>
          <w:rFonts w:ascii="Calibri" w:hAnsi="Calibri"/>
          <w:b/>
          <w:i w:val="0"/>
          <w:color w:val="008000"/>
          <w:sz w:val="18"/>
        </w:rPr>
        <w:t>[ CEVAPLAR ]</w:t>
        <w:br/>
      </w:r>
      <w:r>
        <w:rPr>
          <w:rFonts w:ascii="Calibri" w:hAnsi="Calibri"/>
          <w:b w:val="0"/>
          <w:i w:val="0"/>
          <w:color w:val="008000"/>
          <w:sz w:val="18"/>
        </w:rPr>
        <w:t xml:space="preserve">  • Yukarıdakilerden hangileri "Yenilenebilir (Tükenmeyen)" kaynaklar arasında yer alır? → Cevaplar: 1, 4, 6, 8</w:t>
      </w:r>
      <w:r>
        <w:br/>
      </w:r>
      <w:r>
        <w:rPr>
          <w:rFonts w:ascii="Calibri" w:hAnsi="Calibri"/>
          <w:b w:val="0"/>
          <w:i w:val="0"/>
          <w:color w:val="008000"/>
          <w:sz w:val="18"/>
        </w:rPr>
        <w:t xml:space="preserve">  • Yukarıdakilerden hangileri "Yenilenemeyen (Tükenen)" kaynaklar grubundadır? → Cevaplar: 2, 3, 5, 7</w:t>
      </w:r>
      <w:r>
        <w:br/>
      </w:r>
      <w:r>
        <w:rPr>
          <w:rFonts w:ascii="Calibri" w:hAnsi="Calibri"/>
          <w:b w:val="0"/>
          <w:i w:val="0"/>
          <w:color w:val="008000"/>
          <w:sz w:val="18"/>
        </w:rPr>
        <w:t xml:space="preserve">  • Ülkemizde roket yakıtı, sabun, deterjan ve ısıya dayanıklı cam yapımında kullanılan maden hangisidir? → Cevaplar: 3</w:t>
      </w:r>
      <w:r>
        <w:br/>
      </w:r>
      <w:r>
        <w:rPr>
          <w:rFonts w:ascii="Calibri" w:hAnsi="Calibri"/>
          <w:b w:val="0"/>
          <w:i w:val="0"/>
          <w:color w:val="008000"/>
          <w:sz w:val="18"/>
        </w:rPr>
        <w:t xml:space="preserve">  • Akarsular üzerine kurulan barajlar sayesinde elde edilen "hidroelektrik enerjisinin" temel kaynağı hangisidir? → Cevaplar: 8</w:t>
      </w:r>
      <w:r>
        <w:br/>
      </w:r>
      <w:r>
        <w:rPr>
          <w:rFonts w:ascii="Calibri" w:hAnsi="Calibri"/>
          <w:b w:val="0"/>
          <w:i w:val="0"/>
          <w:color w:val="008000"/>
          <w:sz w:val="18"/>
        </w:rPr>
        <w:t xml:space="preserve">  • "Düşün, Daha Az Tüket, Değerlendir, Değiştir, Dönüştür" basamaklarından oluşan israfı önleme yöntemi hangisidir? → Cevaplar: 9</w:t>
      </w:r>
      <w:r>
        <w:br/>
      </w:r>
      <w:r>
        <w:rPr>
          <w:rFonts w:ascii="Calibri" w:hAnsi="Calibri"/>
          <w:b w:val="0"/>
          <w:i w:val="0"/>
          <w:color w:val="008000"/>
          <w:sz w:val="18"/>
        </w:rPr>
        <w:t xml:space="preserve">  • Hangileri fosil yakıttır ve sera gazını artırdığı için kullanımı azaltılmalıdır? → Cevaplar: 2, 5, 7</w:t>
      </w:r>
    </w:p>
    <w:p>
      <w:pPr>
        <w:spacing w:before="80" w:after="40"/>
        <w:pBdr>
          <w:left w:val="single" w:sz="12" w:space="4" w:color="228B22"/>
        </w:pBdr>
        <w:shd w:val="clear" w:color="auto" w:fill="F0F0F0"/>
      </w:pPr>
      <w:r>
        <w:rPr>
          <w:rFonts w:ascii="Calibri" w:hAnsi="Calibri"/>
          <w:b/>
          <w:color w:val="3C3C3C"/>
          <w:sz w:val="17"/>
        </w:rPr>
        <w:t>✍ Soruyu cevaplayınız.</w:t>
      </w:r>
    </w:p>
    <w:p>
      <w:pPr>
        <w:spacing w:before="60" w:after="20" w:line="240" w:lineRule="auto"/>
      </w:pPr>
      <w:r>
        <w:rPr>
          <w:rFonts w:ascii="Calibri" w:hAnsi="Calibri"/>
          <w:b/>
          <w:i w:val="0"/>
          <w:color w:val="141414"/>
          <w:sz w:val="18"/>
        </w:rPr>
        <w:t xml:space="preserve">6) </w:t>
      </w:r>
      <w:r>
        <w:rPr>
          <w:rFonts w:ascii="Calibri" w:hAnsi="Calibri"/>
          <w:b/>
          <w:i w:val="0"/>
          <w:color w:val="141414"/>
          <w:sz w:val="18"/>
        </w:rPr>
        <w:t>Sıfır Atık Projesi kapsamında geliştirilen "5D Modeli" nedir? Bu modelin basamaklarını sırasıyla yazınız.</w:t>
      </w:r>
      <w:r>
        <w:rPr>
          <w:rFonts w:ascii="Calibri" w:hAnsi="Calibri"/>
          <w:b w:val="0"/>
          <w:i/>
          <w:color w:val="8B0000"/>
          <w:sz w:val="15"/>
        </w:rPr>
        <w:t xml:space="preserve">  [10 Puan | SB.5.5.1.]</w:t>
      </w:r>
    </w:p>
    <w:p>
      <w:pPr>
        <w:spacing w:before="40" w:after="80" w:line="240" w:lineRule="auto"/>
      </w:pPr>
      <w:r>
        <w:rPr>
          <w:rFonts w:ascii="Calibri" w:hAnsi="Calibri"/>
          <w:b/>
          <w:i w:val="0"/>
          <w:color w:val="008000"/>
          <w:sz w:val="18"/>
        </w:rPr>
        <w:t xml:space="preserve">[ CEVAP ] </w:t>
      </w:r>
      <w:r>
        <w:rPr>
          <w:rFonts w:ascii="Calibri" w:hAnsi="Calibri"/>
          <w:b w:val="0"/>
          <w:i w:val="0"/>
          <w:color w:val="008000"/>
          <w:sz w:val="18"/>
        </w:rPr>
        <w:t>5D Modeli, kaynakları doğru kullanmak ve israfı önlemek için geliştirilmiş bir yöntemdir. Basamakları şunlardır: Düşün (Gerekli değilse tüketme) Daha az tüket Değerlendir (Yeniden kullan) Değiştir (Farklı amaçla kullan) Dönüştür (Doğa kazansın)</w:t>
      </w:r>
    </w:p>
    <w:p>
      <w:pPr>
        <w:spacing w:before="80" w:after="40"/>
        <w:pBdr>
          <w:left w:val="single" w:sz="12" w:space="4" w:color="228B22"/>
        </w:pBdr>
        <w:shd w:val="clear" w:color="auto" w:fill="F0F0F0"/>
      </w:pPr>
      <w:r>
        <w:rPr>
          <w:rFonts w:ascii="Calibri" w:hAnsi="Calibri"/>
          <w:b/>
          <w:color w:val="3C3C3C"/>
          <w:sz w:val="17"/>
        </w:rPr>
        <w:t>▦ İstenen bilgileri tabloya yazınız.</w:t>
      </w:r>
    </w:p>
    <w:p>
      <w:pPr>
        <w:spacing w:before="60" w:after="20" w:line="240" w:lineRule="auto"/>
      </w:pPr>
      <w:r>
        <w:rPr>
          <w:rFonts w:ascii="Calibri" w:hAnsi="Calibri"/>
          <w:b/>
          <w:i w:val="0"/>
          <w:color w:val="141414"/>
          <w:sz w:val="18"/>
        </w:rPr>
        <w:t xml:space="preserve">7) </w:t>
      </w:r>
      <w:r>
        <w:rPr>
          <w:rFonts w:ascii="Calibri" w:hAnsi="Calibri"/>
          <w:b/>
          <w:i w:val="0"/>
          <w:color w:val="141414"/>
          <w:sz w:val="18"/>
        </w:rPr>
        <w:t>Aşağıdaki kaynakların hangi gruba girdiğini "X" koyarak işaretleyiniz.</w:t>
      </w:r>
      <w:r>
        <w:rPr>
          <w:rFonts w:ascii="Calibri" w:hAnsi="Calibri"/>
          <w:b w:val="0"/>
          <w:i/>
          <w:color w:val="8B0000"/>
          <w:sz w:val="15"/>
        </w:rPr>
        <w:t xml:space="preserve">  [10 Puan | SB.5.5.1.]</w:t>
      </w:r>
    </w:p>
    <w:p>
      <w:pPr>
        <w:spacing w:before="40" w:after="80" w:line="240" w:lineRule="auto"/>
        <w:spacing w:before="40" w:after="40"/>
      </w:pPr>
      <w:r>
        <w:rPr>
          <w:rFonts w:ascii="Calibri" w:hAnsi="Calibri"/>
          <w:b/>
          <w:i w:val="0"/>
          <w:color w:val="008000"/>
          <w:sz w:val="18"/>
        </w:rPr>
        <w:t>[ CEVAP TABLOSU ]</w:t>
        <w:br/>
      </w:r>
    </w:p>
    <w:tbl>
      <w:tblPr>
        <w:tblStyle w:val="TableGrid"/>
        <w:tblW w:type="auto" w:w="0"/>
        <w:tblLayout w:type="autofit"/>
        <w:tblLook w:firstColumn="1" w:firstRow="1" w:lastColumn="0" w:lastRow="0" w:noHBand="0" w:noVBand="1" w:val="04A0"/>
      </w:tblPr>
      <w:tblGrid>
        <w:gridCol w:w="3742"/>
        <w:gridCol w:w="3742"/>
        <w:gridCol w:w="3742"/>
      </w:tblGrid>
      <w:tr>
        <w:tc>
          <w:tcPr>
            <w:tcW w:type="dxa" w:w="3742"/>
            <w:shd w:val="clear" w:color="auto" w:fill="EAEAEA"/>
            <w:vAlign w:val="center"/>
          </w:tcPr>
          <w:p>
            <w:pPr>
              <w:jc w:val="center"/>
            </w:pPr>
            <w:r>
              <w:rPr>
                <w:b/>
                <w:sz w:val="17"/>
              </w:rPr>
              <w:t>Kaynak Adı</w:t>
            </w:r>
          </w:p>
        </w:tc>
        <w:tc>
          <w:tcPr>
            <w:tcW w:type="dxa" w:w="3742"/>
            <w:shd w:val="clear" w:color="auto" w:fill="EAEAEA"/>
            <w:vAlign w:val="center"/>
          </w:tcPr>
          <w:p>
            <w:pPr>
              <w:jc w:val="center"/>
            </w:pPr>
            <w:r>
              <w:rPr>
                <w:b/>
                <w:sz w:val="17"/>
              </w:rPr>
              <w:t>Yenilenebilir (Tükenmeyen)</w:t>
            </w:r>
          </w:p>
        </w:tc>
        <w:tc>
          <w:tcPr>
            <w:tcW w:type="dxa" w:w="3742"/>
            <w:shd w:val="clear" w:color="auto" w:fill="EAEAEA"/>
            <w:vAlign w:val="center"/>
          </w:tcPr>
          <w:p>
            <w:pPr>
              <w:jc w:val="center"/>
            </w:pPr>
            <w:r>
              <w:rPr>
                <w:b/>
                <w:sz w:val="17"/>
              </w:rPr>
              <w:t>Yenilenemeyen (Tükenen)</w:t>
            </w:r>
          </w:p>
        </w:tc>
      </w:tr>
      <w:tr>
        <w:tc>
          <w:tcPr>
            <w:tcW w:type="dxa" w:w="3742"/>
            <w:vAlign w:val="center"/>
            <w:shd w:val="clear" w:color="auto" w:fill="FAFAFA"/>
          </w:tcPr>
          <w:p>
            <w:r>
              <w:rPr>
                <w:sz w:val="17"/>
              </w:rPr>
              <w:t>Güneş</w:t>
            </w:r>
          </w:p>
        </w:tc>
        <w:tc>
          <w:tcPr>
            <w:tcW w:type="dxa" w:w="3742"/>
            <w:vAlign w:val="center"/>
          </w:tcPr>
          <w:p>
            <w:pPr>
              <w:jc w:val="center"/>
            </w:pPr>
            <w:r>
              <w:rPr>
                <w:rFonts w:ascii="Calibri" w:hAnsi="Calibri"/>
                <w:b/>
                <w:color w:val="008000"/>
                <w:sz w:val="18"/>
              </w:rPr>
              <w:t>X</w:t>
            </w:r>
          </w:p>
        </w:tc>
        <w:tc>
          <w:tcPr>
            <w:tcW w:type="dxa" w:w="3742"/>
            <w:vAlign w:val="center"/>
          </w:tcPr>
          <w:p>
            <w:pPr>
              <w:jc w:val="center"/>
            </w:pPr>
            <w:r>
              <w:rPr>
                <w:rFonts w:ascii="Calibri" w:hAnsi="Calibri"/>
                <w:b/>
                <w:color w:val="008000"/>
                <w:sz w:val="18"/>
              </w:rPr>
              <w:t>-</w:t>
            </w:r>
          </w:p>
        </w:tc>
      </w:tr>
      <w:tr>
        <w:tc>
          <w:tcPr>
            <w:tcW w:type="dxa" w:w="3742"/>
            <w:vAlign w:val="center"/>
            <w:shd w:val="clear" w:color="auto" w:fill="FAFAFA"/>
          </w:tcPr>
          <w:p>
            <w:r>
              <w:rPr>
                <w:sz w:val="17"/>
              </w:rPr>
              <w:t>Kömür</w:t>
            </w:r>
          </w:p>
        </w:tc>
        <w:tc>
          <w:tcPr>
            <w:tcW w:type="dxa" w:w="3742"/>
            <w:vAlign w:val="center"/>
          </w:tcPr>
          <w:p>
            <w:pPr>
              <w:jc w:val="center"/>
            </w:pPr>
            <w:r>
              <w:rPr>
                <w:rFonts w:ascii="Calibri" w:hAnsi="Calibri"/>
                <w:b/>
                <w:color w:val="008000"/>
                <w:sz w:val="18"/>
              </w:rPr>
              <w:t>-</w:t>
            </w:r>
          </w:p>
        </w:tc>
        <w:tc>
          <w:tcPr>
            <w:tcW w:type="dxa" w:w="3742"/>
            <w:vAlign w:val="center"/>
          </w:tcPr>
          <w:p>
            <w:pPr>
              <w:jc w:val="center"/>
            </w:pPr>
            <w:r>
              <w:rPr>
                <w:rFonts w:ascii="Calibri" w:hAnsi="Calibri"/>
                <w:b/>
                <w:color w:val="008000"/>
                <w:sz w:val="18"/>
              </w:rPr>
              <w:t>X</w:t>
            </w:r>
          </w:p>
        </w:tc>
      </w:tr>
      <w:tr>
        <w:tc>
          <w:tcPr>
            <w:tcW w:type="dxa" w:w="3742"/>
            <w:vAlign w:val="center"/>
            <w:shd w:val="clear" w:color="auto" w:fill="FAFAFA"/>
          </w:tcPr>
          <w:p>
            <w:r>
              <w:rPr>
                <w:sz w:val="17"/>
              </w:rPr>
              <w:t>Rüzgâr</w:t>
            </w:r>
          </w:p>
        </w:tc>
        <w:tc>
          <w:tcPr>
            <w:tcW w:type="dxa" w:w="3742"/>
            <w:vAlign w:val="center"/>
          </w:tcPr>
          <w:p>
            <w:pPr>
              <w:jc w:val="center"/>
            </w:pPr>
            <w:r>
              <w:rPr>
                <w:rFonts w:ascii="Calibri" w:hAnsi="Calibri"/>
                <w:b/>
                <w:color w:val="008000"/>
                <w:sz w:val="18"/>
              </w:rPr>
              <w:t>X</w:t>
            </w:r>
          </w:p>
        </w:tc>
        <w:tc>
          <w:tcPr>
            <w:tcW w:type="dxa" w:w="3742"/>
            <w:vAlign w:val="center"/>
          </w:tcPr>
          <w:p>
            <w:pPr>
              <w:jc w:val="center"/>
            </w:pPr>
            <w:r>
              <w:rPr>
                <w:rFonts w:ascii="Calibri" w:hAnsi="Calibri"/>
                <w:b/>
                <w:color w:val="008000"/>
                <w:sz w:val="18"/>
              </w:rPr>
              <w:t>-</w:t>
            </w:r>
          </w:p>
        </w:tc>
      </w:tr>
      <w:tr>
        <w:tc>
          <w:tcPr>
            <w:tcW w:type="dxa" w:w="3742"/>
            <w:vAlign w:val="center"/>
            <w:shd w:val="clear" w:color="auto" w:fill="FAFAFA"/>
          </w:tcPr>
          <w:p>
            <w:r>
              <w:rPr>
                <w:sz w:val="17"/>
              </w:rPr>
              <w:t>Doğal Gaz</w:t>
            </w:r>
          </w:p>
        </w:tc>
        <w:tc>
          <w:tcPr>
            <w:tcW w:type="dxa" w:w="3742"/>
            <w:vAlign w:val="center"/>
          </w:tcPr>
          <w:p>
            <w:pPr>
              <w:jc w:val="center"/>
            </w:pPr>
            <w:r>
              <w:rPr>
                <w:rFonts w:ascii="Calibri" w:hAnsi="Calibri"/>
                <w:b/>
                <w:color w:val="008000"/>
                <w:sz w:val="18"/>
              </w:rPr>
              <w:t>-</w:t>
            </w:r>
          </w:p>
        </w:tc>
        <w:tc>
          <w:tcPr>
            <w:tcW w:type="dxa" w:w="3742"/>
            <w:vAlign w:val="center"/>
          </w:tcPr>
          <w:p>
            <w:pPr>
              <w:jc w:val="center"/>
            </w:pPr>
            <w:r>
              <w:rPr>
                <w:rFonts w:ascii="Calibri" w:hAnsi="Calibri"/>
                <w:b/>
                <w:color w:val="008000"/>
                <w:sz w:val="18"/>
              </w:rPr>
              <w:t>X</w:t>
            </w:r>
          </w:p>
        </w:tc>
      </w:tr>
      <w:tr>
        <w:tc>
          <w:tcPr>
            <w:tcW w:type="dxa" w:w="3742"/>
            <w:vAlign w:val="center"/>
            <w:shd w:val="clear" w:color="auto" w:fill="FAFAFA"/>
          </w:tcPr>
          <w:p>
            <w:r>
              <w:rPr>
                <w:sz w:val="17"/>
              </w:rPr>
              <w:t>Toprak</w:t>
            </w:r>
          </w:p>
        </w:tc>
        <w:tc>
          <w:tcPr>
            <w:tcW w:type="dxa" w:w="3742"/>
            <w:vAlign w:val="center"/>
          </w:tcPr>
          <w:p>
            <w:pPr>
              <w:jc w:val="center"/>
            </w:pPr>
            <w:r>
              <w:rPr>
                <w:rFonts w:ascii="Calibri" w:hAnsi="Calibri"/>
                <w:b/>
                <w:color w:val="008000"/>
                <w:sz w:val="18"/>
              </w:rPr>
              <w:t>X</w:t>
            </w:r>
          </w:p>
        </w:tc>
        <w:tc>
          <w:tcPr>
            <w:tcW w:type="dxa" w:w="3742"/>
            <w:vAlign w:val="center"/>
          </w:tcPr>
          <w:p>
            <w:pPr>
              <w:jc w:val="center"/>
            </w:pPr>
            <w:r>
              <w:rPr>
                <w:rFonts w:ascii="Calibri" w:hAnsi="Calibri"/>
                <w:b/>
                <w:color w:val="008000"/>
                <w:sz w:val="18"/>
              </w:rPr>
              <w:t>-</w:t>
            </w:r>
          </w:p>
        </w:tc>
      </w:tr>
      <w:tr>
        <w:tc>
          <w:tcPr>
            <w:tcW w:type="dxa" w:w="3742"/>
            <w:vAlign w:val="center"/>
            <w:shd w:val="clear" w:color="auto" w:fill="FAFAFA"/>
          </w:tcPr>
          <w:p>
            <w:r>
              <w:rPr>
                <w:sz w:val="17"/>
              </w:rPr>
              <w:t>Madenler</w:t>
            </w:r>
          </w:p>
        </w:tc>
        <w:tc>
          <w:tcPr>
            <w:tcW w:type="dxa" w:w="3742"/>
            <w:vAlign w:val="center"/>
          </w:tcPr>
          <w:p>
            <w:pPr>
              <w:jc w:val="center"/>
            </w:pPr>
            <w:r>
              <w:rPr>
                <w:rFonts w:ascii="Calibri" w:hAnsi="Calibri"/>
                <w:b/>
                <w:color w:val="008000"/>
                <w:sz w:val="18"/>
              </w:rPr>
              <w:t>-</w:t>
            </w:r>
          </w:p>
        </w:tc>
        <w:tc>
          <w:tcPr>
            <w:tcW w:type="dxa" w:w="3742"/>
            <w:vAlign w:val="center"/>
          </w:tcPr>
          <w:p>
            <w:pPr>
              <w:jc w:val="center"/>
            </w:pPr>
            <w:r>
              <w:rPr>
                <w:rFonts w:ascii="Calibri" w:hAnsi="Calibri"/>
                <w:b/>
                <w:color w:val="008000"/>
                <w:sz w:val="18"/>
              </w:rPr>
              <w:t>X</w:t>
            </w:r>
          </w:p>
        </w:tc>
      </w:tr>
    </w:tbl>
    <w:p>
      <w:pPr>
        <w:spacing w:before="40" w:after="40"/>
      </w:pPr>
    </w:p>
    <w:p>
      <w:pPr>
        <w:spacing w:before="80" w:after="40"/>
        <w:pBdr>
          <w:left w:val="single" w:sz="12" w:space="4" w:color="228B22"/>
        </w:pBdr>
        <w:shd w:val="clear" w:color="auto" w:fill="F0F0F0"/>
      </w:pPr>
      <w:r>
        <w:rPr>
          <w:rFonts w:ascii="Calibri" w:hAnsi="Calibri"/>
          <w:b/>
          <w:color w:val="3C3C3C"/>
          <w:sz w:val="17"/>
        </w:rPr>
        <w:t>✍ Soruyu cevaplayınız.</w:t>
      </w:r>
    </w:p>
    <w:p>
      <w:pPr>
        <w:spacing w:before="60" w:after="20" w:line="240" w:lineRule="auto"/>
      </w:pPr>
      <w:r>
        <w:rPr>
          <w:rFonts w:ascii="Calibri" w:hAnsi="Calibri"/>
          <w:b/>
          <w:i w:val="0"/>
          <w:color w:val="141414"/>
          <w:sz w:val="18"/>
        </w:rPr>
        <w:t xml:space="preserve">8) </w:t>
      </w:r>
      <w:r>
        <w:rPr>
          <w:rFonts w:ascii="Calibri" w:hAnsi="Calibri"/>
          <w:b/>
          <w:i w:val="0"/>
          <w:color w:val="141414"/>
          <w:sz w:val="18"/>
        </w:rPr>
        <w:t>Kerem markette kasa sırasında beklerken çok sevdiği bir çikolatayı görüp sepete atmak istiyor. Kaynakta belirtilen "10 Saniye Kuralı"nı uygulayan Kerem'in, ödeme yapmadan önce kendine sorması gereken en kritik iki soru ne olmalıdır? Bu sorular Kerem'in kararını nasıl etkiler?</w:t>
      </w:r>
      <w:r>
        <w:rPr>
          <w:rFonts w:ascii="Calibri" w:hAnsi="Calibri"/>
          <w:b w:val="0"/>
          <w:i/>
          <w:color w:val="8B0000"/>
          <w:sz w:val="15"/>
        </w:rPr>
        <w:t xml:space="preserve">  [10 Puan | SB.5.5.2.]</w:t>
      </w:r>
    </w:p>
    <w:p>
      <w:pPr>
        <w:spacing w:before="40" w:after="80" w:line="240" w:lineRule="auto"/>
      </w:pPr>
      <w:r>
        <w:rPr>
          <w:rFonts w:ascii="Calibri" w:hAnsi="Calibri"/>
          <w:b/>
          <w:i w:val="0"/>
          <w:color w:val="008000"/>
          <w:sz w:val="18"/>
        </w:rPr>
        <w:t xml:space="preserve">[ CEVAP ] </w:t>
      </w:r>
      <w:r>
        <w:rPr>
          <w:rFonts w:ascii="Calibri" w:hAnsi="Calibri"/>
          <w:b w:val="0"/>
          <w:i w:val="0"/>
          <w:color w:val="008000"/>
          <w:sz w:val="18"/>
        </w:rPr>
        <w:t>Kerem kendine şu iki soruyu sormalıdır: 1. "Bu bir istek mi yoksa ihtiyaç mı?" 2. "Bunu almak için bütçemde yer var mı?" Eğer Kerem bu çikolatayı almadığında bir eksiklik hissetmeyecekse bunun bir istek olduğunu anlayacak ve eğer bütçesinde o hafta için çikolataya ayrılmış bir para yoksa maddi sıkıntı yaşamamak için onu almaktan vazgeçecektir</w:t>
      </w:r>
    </w:p>
    <w:p>
      <w:pPr>
        <w:spacing w:before="60" w:after="20" w:line="240" w:lineRule="auto"/>
      </w:pPr>
      <w:r>
        <w:rPr>
          <w:rFonts w:ascii="Calibri" w:hAnsi="Calibri"/>
          <w:b/>
          <w:i w:val="0"/>
          <w:color w:val="141414"/>
          <w:sz w:val="18"/>
        </w:rPr>
        <w:t xml:space="preserve">9) </w:t>
      </w:r>
      <w:r>
        <w:rPr>
          <w:rFonts w:ascii="Calibri" w:hAnsi="Calibri"/>
          <w:b/>
          <w:i w:val="0"/>
          <w:color w:val="141414"/>
          <w:sz w:val="18"/>
        </w:rPr>
        <w:t>Selin’in kışlık botları artık ayağını sıkıyor ve su geçiriyor. Selin mağazaya gittiğinde çok şık, ışıklı bir spor ayakkabı görüyor ve onu almak istiyor. Ancak annesiönce bot almaları gerektiğini söylüyor. Selin’in bot alması ile ışıklı spor ayakkabı istemesini kaynaklardaki "ihtiyaç" ve "istek" tanımlarına göre karşılaştırarak Selin'in neden önce bot alması gerektiğini açıklayınız.</w:t>
      </w:r>
      <w:r>
        <w:rPr>
          <w:rFonts w:ascii="Calibri" w:hAnsi="Calibri"/>
          <w:b w:val="0"/>
          <w:i/>
          <w:color w:val="8B0000"/>
          <w:sz w:val="15"/>
        </w:rPr>
        <w:t xml:space="preserve">  [10 Puan | SB.5.5.2.]</w:t>
      </w:r>
    </w:p>
    <w:p>
      <w:pPr>
        <w:spacing w:before="40" w:after="80" w:line="240" w:lineRule="auto"/>
      </w:pPr>
      <w:r>
        <w:rPr>
          <w:rFonts w:ascii="Calibri" w:hAnsi="Calibri"/>
          <w:b/>
          <w:i w:val="0"/>
          <w:color w:val="008000"/>
          <w:sz w:val="18"/>
        </w:rPr>
        <w:t xml:space="preserve">[ CEVAP ] </w:t>
      </w:r>
      <w:r>
        <w:rPr>
          <w:rFonts w:ascii="Calibri" w:hAnsi="Calibri"/>
          <w:b w:val="0"/>
          <w:i w:val="0"/>
          <w:color w:val="008000"/>
          <w:sz w:val="18"/>
        </w:rPr>
        <w:t>Selin’in kışlık botları su geçirdiği ve sağlığını koruması gerektiği için bot alması bir ihtiyaçtır; çünkü ihtiyaçlar karşılanmadığında yaşamımızı sürdürmek güçleşir. Işıklı spor ayakkabı ise Selin’i sadece mutlu edecek bir istektir. Harcamalar yapılırken bütçenin sarsılmaması için ihtiyaçlara öncelik verilmeli ve gerekli değilse istekler ertelenmelidir</w:t>
      </w:r>
    </w:p>
    <w:p/>
    <w:tbl>
      <w:tblPr>
        <w:tblW w:type="auto" w:w="0"/>
        <w:tblLayout w:type="fixed"/>
        <w:tblLook w:firstColumn="1" w:firstRow="1" w:lastColumn="0" w:lastRow="0" w:noHBand="0" w:noVBand="1" w:val="04A0"/>
        <w:tblBorders>
          <w:top w:val="none"/>
          <w:left w:val="none"/>
          <w:bottom w:val="none"/>
          <w:right w:val="none"/>
          <w:insideH w:val="none"/>
          <w:insideV w:val="none"/>
        </w:tblBorders>
      </w:tblPr>
      <w:tblGrid>
        <w:gridCol w:w="5669"/>
        <w:gridCol w:w="5556"/>
      </w:tblGrid>
      <w:tr>
        <w:tc>
          <w:tcPr>
            <w:tcW w:type="dxa" w:w="5669"/>
          </w:tcPr>
          <w:p>
            <w:r>
              <w:rPr>
                <w:rFonts w:ascii="Calibri" w:hAnsi="Calibri"/>
                <w:b/>
                <w:i w:val="0"/>
                <w:color w:val="3C3C3C"/>
              </w:rPr>
              <w:t>Cevap anahtarı üzerinden kontrollerinizi yapınız.</w:t>
              <w:br/>
              <w:t>İyi çalışmalar dilerim.</w:t>
            </w:r>
          </w:p>
        </w:tc>
        <w:tc>
          <w:tcPr>
            <w:tcW w:type="dxa" w:w="5556"/>
          </w:tcPr>
          <w:p>
            <w:pPr>
              <w:jc w:val="right"/>
            </w:pPr>
            <w:r>
              <w:rPr>
                <w:rFonts w:ascii="Calibri" w:hAnsi="Calibri"/>
                <w:b/>
                <w:i w:val="0"/>
                <w:sz w:val="18"/>
              </w:rPr>
              <w:t>Okan ARSLAN</w:t>
              <w:br/>
            </w:r>
            <w:r>
              <w:rPr>
                <w:rFonts w:ascii="Calibri" w:hAnsi="Calibri"/>
                <w:b w:val="0"/>
                <w:i w:val="0"/>
                <w:sz w:val="18"/>
              </w:rPr>
              <w:t>Sosyal Bilgiler Öğretmeni</w:t>
            </w:r>
          </w:p>
        </w:tc>
      </w:tr>
    </w:tbl>
    <w:p>
      <w:pPr>
        <w:jc w:val="center"/>
        <w:spacing w:before="200" w:after="0"/>
      </w:pPr>
      <w:r>
        <w:drawing>
          <wp:inline xmlns:a="http://schemas.openxmlformats.org/drawingml/2006/main" xmlns:pic="http://schemas.openxmlformats.org/drawingml/2006/picture">
            <wp:extent cx="2160000" cy="720512"/>
            <wp:docPr id="1" name="Picture 1"/>
            <wp:cNvGraphicFramePr>
              <a:graphicFrameLocks noChangeAspect="1"/>
            </wp:cNvGraphicFramePr>
            <a:graphic>
              <a:graphicData uri="http://schemas.openxmlformats.org/drawingml/2006/picture">
                <pic:pic>
                  <pic:nvPicPr>
                    <pic:cNvPr id="0" name="image.png"/>
                    <pic:cNvPicPr/>
                  </pic:nvPicPr>
                  <pic:blipFill>
                    <a:blip r:embed="rId9"/>
                    <a:stretch>
                      <a:fillRect/>
                    </a:stretch>
                  </pic:blipFill>
                  <pic:spPr>
                    <a:xfrm>
                      <a:off x="0" y="0"/>
                      <a:ext cx="2160000" cy="720512"/>
                    </a:xfrm>
                    <a:prstGeom prst="rect"/>
                  </pic:spPr>
                </pic:pic>
              </a:graphicData>
            </a:graphic>
          </wp:inline>
        </w:drawing>
      </w:r>
    </w:p>
    <w:p>
      <w:pPr>
        <w:jc w:val="center"/>
        <w:spacing w:before="40" w:after="0"/>
      </w:pPr>
      <w:r>
        <w:rPr>
          <w:rFonts w:ascii="Calibri" w:hAnsi="Calibri"/>
          <w:b w:val="0"/>
          <w:i w:val="0"/>
          <w:color w:val="969696"/>
          <w:sz w:val="15"/>
        </w:rPr>
        <w:t xml:space="preserve">Bu cevap anahtarı </w:t>
      </w:r>
      <w:r>
        <w:rPr>
          <w:rFonts w:ascii="Calibri" w:hAnsi="Calibri"/>
          <w:b/>
          <w:color w:val="0066CC"/>
          <w:sz w:val="16"/>
        </w:rPr>
        <w:t>sinavhazir.com.tr</w:t>
      </w:r>
      <w:r>
        <w:rPr>
          <w:rFonts w:ascii="Calibri" w:hAnsi="Calibri"/>
          <w:b w:val="0"/>
          <w:i w:val="0"/>
          <w:color w:val="969696"/>
          <w:sz w:val="15"/>
        </w:rPr>
        <w:t xml:space="preserve"> platformu üzerinden hazırlanmıştır.</w:t>
      </w:r>
    </w:p>
    <w:sectPr w:rsidR="00FC693F" w:rsidRPr="0006063C" w:rsidSect="00034616">
      <w:pgSz w:w="11906" w:h="16838"/>
      <w:pgMar w:top="340" w:right="340" w:bottom="340" w:left="3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18"/>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