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Mert, biriktirdiği harçlıklarıyla mahalledeki kırtasiyeden yeni bir boya kalemi seti alır. Eve gelip kalemleri denediğinde bazılarının ucu kırık ve kurumuş olduğunu fark eder. Mert'in elinde alışveriş sırasında aldığı faturası bulunmaktadır.</w:t>
      </w:r>
      <w:r>
        <w:rPr>
          <w:rFonts w:ascii="Calibri" w:hAnsi="Calibri"/>
          <w:b w:val="0"/>
          <w:i/>
          <w:color w:val="8B0000"/>
          <w:sz w:val="15"/>
        </w:rPr>
        <w:t xml:space="preserve">  [15 puan | SB.5.4.2.]</w:t>
      </w:r>
    </w:p>
    <w:p>
      <w:pPr>
        <w:spacing w:before="0" w:after="0" w:line="240" w:lineRule="auto"/>
      </w:pPr>
      <w:r>
        <w:rPr>
          <w:rFonts w:ascii="Calibri" w:hAnsi="Calibri"/>
          <w:b w:val="0"/>
          <w:i w:val="0"/>
          <w:color w:val="141414"/>
          <w:sz w:val="18"/>
        </w:rPr>
        <w:t xml:space="preserve">    Mert "etkin bir vatandaş" olarak bu durumda ne yapmalıdır ve neden?</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2) </w:t>
      </w:r>
      <w:r>
        <w:rPr>
          <w:rFonts w:ascii="Calibri" w:hAnsi="Calibri"/>
          <w:b/>
          <w:i w:val="0"/>
          <w:color w:val="141414"/>
          <w:sz w:val="18"/>
        </w:rPr>
        <w:t>Beşinci sınıf öğrencisi Elif, teneffüste arkadaşı Selin’in komik bir fotoğrafını çeker ve Selin’den izin almadan sınıf grubunda paylaşır. Selin bu duruma çok üzülür ve fotoğrafın silinmesini ister.</w:t>
      </w:r>
      <w:r>
        <w:rPr>
          <w:rFonts w:ascii="Calibri" w:hAnsi="Calibri"/>
          <w:b w:val="0"/>
          <w:i/>
          <w:color w:val="8B0000"/>
          <w:sz w:val="15"/>
        </w:rPr>
        <w:t xml:space="preserve">  [15 puan | SB.5.4.3.]</w:t>
      </w:r>
    </w:p>
    <w:p>
      <w:pPr>
        <w:spacing w:before="0" w:after="0" w:line="240" w:lineRule="auto"/>
      </w:pPr>
      <w:r>
        <w:rPr>
          <w:rFonts w:ascii="Calibri" w:hAnsi="Calibri"/>
          <w:b w:val="0"/>
          <w:i w:val="0"/>
          <w:color w:val="141414"/>
          <w:sz w:val="18"/>
        </w:rPr>
        <w:t xml:space="preserve">    Elif, Selin’in hangi temel hakkını ihlal etmiştir ve notlardaki uyarıya göre özgürlüğünü kullanırken neyi unutmuştur?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3) </w:t>
      </w:r>
      <w:r>
        <w:rPr>
          <w:rFonts w:ascii="Calibri" w:hAnsi="Calibri"/>
          <w:b/>
          <w:i w:val="0"/>
          <w:color w:val="141414"/>
          <w:sz w:val="18"/>
        </w:rPr>
        <w:t>Yaşadığın çevrede sokakların çok kirlendiğini ve çöplerin günlerdir toplanmadığını fark ettin. Bu sorunun çözülmesi için hangi yöneticiye haber vermen gerekir? Nedenini kısaca açıklayınız.</w:t>
      </w:r>
      <w:r>
        <w:rPr>
          <w:rFonts w:ascii="Calibri" w:hAnsi="Calibri"/>
          <w:b w:val="0"/>
          <w:i/>
          <w:color w:val="8B0000"/>
          <w:sz w:val="15"/>
        </w:rPr>
        <w:t xml:space="preserve">  [10 puan | SB.5.4.4.]</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Aşağıdaki görev tanımlarını ilgili yönetici ile eşleştiriniz.</w:t>
      </w:r>
      <w:r>
        <w:rPr>
          <w:rFonts w:ascii="Calibri" w:hAnsi="Calibri"/>
          <w:b w:val="0"/>
          <w:i/>
          <w:color w:val="8B0000"/>
          <w:sz w:val="15"/>
        </w:rPr>
        <w:t xml:space="preserve">  [10 puan | SB.5.4.4.]</w:t>
      </w:r>
    </w:p>
    <w:p>
      <w:pPr>
        <w:spacing w:before="40" w:after="40"/>
      </w:pPr>
    </w:p>
    <w:tbl>
      <w:tblPr>
        <w:tblStyle w:val="TableGrid"/>
        <w:tblW w:type="auto" w:w="0"/>
        <w:tblLayout w:type="autofit"/>
        <w:tblLook w:firstColumn="1" w:firstRow="1" w:lastColumn="0" w:lastRow="0" w:noHBand="0" w:noVBand="1" w:val="04A0"/>
      </w:tblPr>
      <w:tblGrid>
        <w:gridCol w:w="5613"/>
        <w:gridCol w:w="5613"/>
      </w:tblGrid>
      <w:tr>
        <w:tc>
          <w:tcPr>
            <w:tcW w:type="dxa" w:w="5613"/>
            <w:shd w:val="clear" w:color="auto" w:fill="EAEAEA"/>
            <w:vAlign w:val="center"/>
          </w:tcPr>
          <w:p>
            <w:pPr>
              <w:jc w:val="center"/>
            </w:pPr>
            <w:r>
              <w:rPr>
                <w:b/>
                <w:sz w:val="17"/>
              </w:rPr>
              <w:t>Görev Tanımı</w:t>
            </w:r>
          </w:p>
        </w:tc>
        <w:tc>
          <w:tcPr>
            <w:tcW w:type="dxa" w:w="5613"/>
            <w:shd w:val="clear" w:color="auto" w:fill="EAEAEA"/>
            <w:vAlign w:val="center"/>
          </w:tcPr>
          <w:p>
            <w:pPr>
              <w:jc w:val="center"/>
            </w:pPr>
            <w:r>
              <w:rPr>
                <w:b/>
                <w:sz w:val="17"/>
              </w:rPr>
              <w:t>Yönetici</w:t>
            </w:r>
          </w:p>
        </w:tc>
      </w:tr>
      <w:tr>
        <w:trPr>
          <w:trHeight w:val="680"/>
        </w:trPr>
        <w:tc>
          <w:tcPr>
            <w:tcW w:type="dxa" w:w="5613"/>
            <w:vAlign w:val="center"/>
            <w:shd w:val="clear" w:color="auto" w:fill="FAFAFA"/>
          </w:tcPr>
          <w:p>
            <w:r>
              <w:rPr>
                <w:sz w:val="17"/>
              </w:rPr>
              <w:t>İlçedeki tüm devlet dairelerini denetlemek.</w:t>
            </w:r>
          </w:p>
        </w:tc>
        <w:tc>
          <w:tcPr>
            <w:tcW w:type="dxa" w:w="5613"/>
            <w:vAlign w:val="center"/>
          </w:tcPr>
          <w:p>
            <w:r/>
          </w:p>
        </w:tc>
      </w:tr>
      <w:tr>
        <w:trPr>
          <w:trHeight w:val="680"/>
        </w:trPr>
        <w:tc>
          <w:tcPr>
            <w:tcW w:type="dxa" w:w="5613"/>
            <w:vAlign w:val="center"/>
            <w:shd w:val="clear" w:color="auto" w:fill="FAFAFA"/>
          </w:tcPr>
          <w:p>
            <w:r>
              <w:rPr>
                <w:sz w:val="17"/>
              </w:rPr>
              <w:t>İlin kalkınması için bakanlıklarla iş birliği yapmak.</w:t>
            </w:r>
          </w:p>
        </w:tc>
        <w:tc>
          <w:tcPr>
            <w:tcW w:type="dxa" w:w="5613"/>
            <w:vAlign w:val="center"/>
          </w:tcPr>
          <w:p>
            <w:r/>
          </w:p>
        </w:tc>
      </w:tr>
      <w:tr>
        <w:trPr>
          <w:trHeight w:val="680"/>
        </w:trPr>
        <w:tc>
          <w:tcPr>
            <w:tcW w:type="dxa" w:w="5613"/>
            <w:vAlign w:val="center"/>
            <w:shd w:val="clear" w:color="auto" w:fill="FAFAFA"/>
          </w:tcPr>
          <w:p>
            <w:r>
              <w:rPr>
                <w:sz w:val="17"/>
              </w:rPr>
              <w:t>İtfaiye hizmetlerinin sunulmasını sağlamak.</w:t>
            </w:r>
          </w:p>
        </w:tc>
        <w:tc>
          <w:tcPr>
            <w:tcW w:type="dxa" w:w="5613"/>
            <w:vAlign w:val="center"/>
          </w:tcPr>
          <w:p>
            <w:r/>
          </w:p>
        </w:tc>
      </w:tr>
      <w:tr>
        <w:trPr>
          <w:trHeight w:val="680"/>
        </w:trPr>
        <w:tc>
          <w:tcPr>
            <w:tcW w:type="dxa" w:w="5613"/>
            <w:vAlign w:val="center"/>
            <w:shd w:val="clear" w:color="auto" w:fill="FAFAFA"/>
          </w:tcPr>
          <w:p>
            <w:r>
              <w:rPr>
                <w:sz w:val="17"/>
              </w:rPr>
              <w:t>Mahalledeki ihtiyaç sahiplerini gerekli yerlere bildirmek</w:t>
            </w:r>
          </w:p>
        </w:tc>
        <w:tc>
          <w:tcPr>
            <w:tcW w:type="dxa" w:w="5613"/>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kutucukları kullanarak soruları cevaplayınız.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[10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40" w:after="40"/>
            </w:pPr>
            <w:r>
              <w:t>1) Güneş</w:t>
            </w:r>
          </w:p>
        </w:tc>
        <w:tc>
          <w:tcPr>
            <w:tcW w:type="dxa" w:w="2806"/>
            <w:shd w:val="clear" w:color="auto" w:fill="FAFAFA"/>
            <w:vAlign w:val="center"/>
          </w:tcPr>
          <w:p>
            <w:pPr>
              <w:jc w:val="left"/>
              <w:spacing w:before="40" w:after="40"/>
            </w:pPr>
            <w:r>
              <w:t>2) Kömür</w:t>
            </w:r>
          </w:p>
        </w:tc>
        <w:tc>
          <w:tcPr>
            <w:tcW w:type="dxa" w:w="2806"/>
            <w:shd w:val="clear" w:color="auto" w:fill="FAFAFA"/>
            <w:vAlign w:val="center"/>
          </w:tcPr>
          <w:p>
            <w:pPr>
              <w:jc w:val="left"/>
              <w:spacing w:before="40" w:after="40"/>
            </w:pPr>
            <w:r>
              <w:t>3) Bor Madeni</w:t>
            </w:r>
          </w:p>
        </w:tc>
        <w:tc>
          <w:tcPr>
            <w:tcW w:type="dxa" w:w="2806"/>
            <w:shd w:val="clear" w:color="auto" w:fill="FAFAFA"/>
            <w:vAlign w:val="center"/>
          </w:tcPr>
          <w:p>
            <w:pPr>
              <w:jc w:val="left"/>
              <w:spacing w:before="40" w:after="40"/>
            </w:pPr>
            <w:r>
              <w:t>4) Rüzgâr</w:t>
            </w:r>
          </w:p>
        </w:tc>
      </w:tr>
      <w:tr>
        <w:tc>
          <w:tcPr>
            <w:tcW w:type="dxa" w:w="2806"/>
            <w:shd w:val="clear" w:color="auto" w:fill="FAFAFA"/>
            <w:vAlign w:val="center"/>
          </w:tcPr>
          <w:p>
            <w:pPr>
              <w:jc w:val="left"/>
              <w:spacing w:before="40" w:after="40"/>
            </w:pPr>
            <w:r>
              <w:t>5) Petrol</w:t>
            </w:r>
          </w:p>
        </w:tc>
        <w:tc>
          <w:tcPr>
            <w:tcW w:type="dxa" w:w="2806"/>
            <w:shd w:val="clear" w:color="auto" w:fill="FAFAFA"/>
            <w:vAlign w:val="center"/>
          </w:tcPr>
          <w:p>
            <w:pPr>
              <w:jc w:val="left"/>
              <w:spacing w:before="40" w:after="40"/>
            </w:pPr>
            <w:r>
              <w:t>6) Ormanlar</w:t>
            </w:r>
          </w:p>
        </w:tc>
        <w:tc>
          <w:tcPr>
            <w:tcW w:type="dxa" w:w="2806"/>
            <w:shd w:val="clear" w:color="auto" w:fill="FAFAFA"/>
            <w:vAlign w:val="center"/>
          </w:tcPr>
          <w:p>
            <w:pPr>
              <w:jc w:val="left"/>
              <w:spacing w:before="40" w:after="40"/>
            </w:pPr>
            <w:r>
              <w:t>7) Doğal Gaz</w:t>
            </w:r>
          </w:p>
        </w:tc>
        <w:tc>
          <w:tcPr>
            <w:tcW w:type="dxa" w:w="2806"/>
            <w:shd w:val="clear" w:color="auto" w:fill="FAFAFA"/>
            <w:vAlign w:val="center"/>
          </w:tcPr>
          <w:p>
            <w:pPr>
              <w:jc w:val="left"/>
              <w:spacing w:before="40" w:after="40"/>
            </w:pPr>
            <w:r>
              <w:t>8) Su</w:t>
            </w:r>
          </w:p>
        </w:tc>
      </w:tr>
      <w:tr>
        <w:tc>
          <w:tcPr>
            <w:tcW w:type="dxa" w:w="2806"/>
            <w:shd w:val="clear" w:color="auto" w:fill="FAFAFA"/>
            <w:vAlign w:val="center"/>
          </w:tcPr>
          <w:p>
            <w:pPr>
              <w:jc w:val="left"/>
              <w:spacing w:before="40" w:after="40"/>
            </w:pPr>
            <w:r>
              <w:t>9) 5D Modeli</w:t>
            </w:r>
          </w:p>
        </w:tc>
        <w:tc>
          <w:tcPr>
            <w:tcW w:type="dxa" w:w="2806"/>
          </w:tcPr>
          <w:p/>
        </w:tc>
        <w:tc>
          <w:tcPr>
            <w:tcW w:type="dxa" w:w="2806"/>
          </w:tcPr>
          <w:p/>
        </w:tc>
        <w:tc>
          <w:tcPr>
            <w:tcW w:type="dxa" w:w="2806"/>
          </w:tcPr>
          <w:p/>
        </w:tc>
      </w:tr>
    </w:tbl>
    <w:p>
      <w:pPr>
        <w:spacing w:before="40" w:after="40"/>
      </w:pPr>
    </w:p>
    <w:p>
      <w:pPr>
        <w:ind w:left="0"/>
        <w:spacing w:before="0" w:after="40" w:line="240" w:lineRule="auto"/>
      </w:pPr>
      <w:r>
        <w:rPr>
          <w:rFonts w:ascii="Calibri" w:hAnsi="Calibri"/>
          <w:b w:val="0"/>
          <w:i w:val="0"/>
          <w:color w:val="141414"/>
          <w:sz w:val="18"/>
        </w:rPr>
        <w:t>• Yukarıdakilerden hangileri "Yenilenebilir (Tükenmeyen)" kaynaklar arasında yer alır?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Yukarıdakilerden hangileri "Yenilenemeyen (Tükenen)" kaynaklar grubundadır?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Ülkemizde roket yakıtı, sabun, deterjan ve ısıya dayanıklı cam yapımında kullanılan maden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Akarsular üzerine kurulan barajlar sayesinde elde edilen "hidroelektrik enerjisinin" temel kaynağı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"Düşün, Daha Az Tüket, Değerlendir, Değiştir, Dönüştür" basamaklarından oluşan israfı önleme yöntemi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Hangileri fosil yakıttır ve sera gazını artırdığı için kullanımı azaltılmalıdır?</w:t>
      </w:r>
    </w:p>
    <w:p>
      <w:pPr>
        <w:ind w:left="0"/>
        <w:spacing w:before="0" w:after="120" w:line="200" w:lineRule="auto"/>
      </w:pPr>
      <w:r>
        <w:rPr>
          <w:rFonts w:ascii="Calibri" w:hAnsi="Calibri"/>
          <w:b w:val="0"/>
          <w:i/>
          <w:color w:val="141414"/>
          <w:sz w:val="18"/>
        </w:rPr>
        <w:t>Cevap Kutusu: ...</w:t>
      </w: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Sıfır Atık Projesi kapsamında geliştirilen "5D Modeli" nedir? Bu modelin basamaklarını sırasıyla yazınız.</w:t>
      </w:r>
      <w:r>
        <w:rPr>
          <w:rFonts w:ascii="Calibri" w:hAnsi="Calibri"/>
          <w:b w:val="0"/>
          <w:i/>
          <w:color w:val="8B0000"/>
          <w:sz w:val="15"/>
        </w:rPr>
        <w:t xml:space="preserve">  [10 puan | SB.5.5.1.]</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Aşağıdaki kaynakların hangi gruba girdiğini "X" koyarak işaretleyiniz.</w:t>
      </w:r>
      <w:r>
        <w:rPr>
          <w:rFonts w:ascii="Calibri" w:hAnsi="Calibri"/>
          <w:b w:val="0"/>
          <w:i/>
          <w:color w:val="8B0000"/>
          <w:sz w:val="15"/>
        </w:rPr>
        <w:t xml:space="preserve">  [10 puan | SB.5.5.1.]</w:t>
      </w:r>
    </w:p>
    <w:p>
      <w:pPr>
        <w:spacing w:before="40" w:after="40"/>
      </w:pP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Kaynak Adı</w:t>
            </w:r>
          </w:p>
        </w:tc>
        <w:tc>
          <w:tcPr>
            <w:tcW w:type="dxa" w:w="3742"/>
            <w:shd w:val="clear" w:color="auto" w:fill="EAEAEA"/>
            <w:vAlign w:val="center"/>
          </w:tcPr>
          <w:p>
            <w:pPr>
              <w:jc w:val="center"/>
            </w:pPr>
            <w:r>
              <w:rPr>
                <w:b/>
                <w:sz w:val="17"/>
              </w:rPr>
              <w:t>Yenilenebilir (Tükenmeyen)</w:t>
            </w:r>
          </w:p>
        </w:tc>
        <w:tc>
          <w:tcPr>
            <w:tcW w:type="dxa" w:w="3742"/>
            <w:shd w:val="clear" w:color="auto" w:fill="EAEAEA"/>
            <w:vAlign w:val="center"/>
          </w:tcPr>
          <w:p>
            <w:pPr>
              <w:jc w:val="center"/>
            </w:pPr>
            <w:r>
              <w:rPr>
                <w:b/>
                <w:sz w:val="17"/>
              </w:rPr>
              <w:t>Yenilenemeyen (Tükenen)</w:t>
            </w:r>
          </w:p>
        </w:tc>
      </w:tr>
      <w:tr>
        <w:trPr>
          <w:trHeight w:val="680"/>
        </w:trPr>
        <w:tc>
          <w:tcPr>
            <w:tcW w:type="dxa" w:w="3742"/>
            <w:vAlign w:val="center"/>
            <w:shd w:val="clear" w:color="auto" w:fill="FAFAFA"/>
          </w:tcPr>
          <w:p>
            <w:r>
              <w:rPr>
                <w:sz w:val="17"/>
              </w:rPr>
              <w:t>Güneş</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Kömür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Rüzgâr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Doğal Gaz</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Toprak</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Madenler</w:t>
            </w:r>
          </w:p>
        </w:tc>
        <w:tc>
          <w:tcPr>
            <w:tcW w:type="dxa" w:w="3742"/>
            <w:vAlign w:val="center"/>
          </w:tcPr>
          <w:p>
            <w:r/>
          </w:p>
        </w:tc>
        <w:tc>
          <w:tcPr>
            <w:tcW w:type="dxa" w:w="3742"/>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Kerem markette kasa sırasında beklerken çok sevdiği bir çikolatayı görüp sepete atmak istiyor. Kaynakta belirtilen "10 Saniye Kuralı"nı uygulayan Kerem'in, ödeme yapmadan önce kendine sorması gereken en kritik iki soru ne olmalıdır? Bu sorular Kerem'in kararını nasıl etkiler?</w:t>
      </w:r>
      <w:r>
        <w:rPr>
          <w:rFonts w:ascii="Calibri" w:hAnsi="Calibri"/>
          <w:b w:val="0"/>
          <w:i/>
          <w:color w:val="8B0000"/>
          <w:sz w:val="15"/>
        </w:rPr>
        <w:t xml:space="preserve">  [10 puan | SB.5.5.2.]</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9) </w:t>
      </w:r>
      <w:r>
        <w:rPr>
          <w:rFonts w:ascii="Calibri" w:hAnsi="Calibri"/>
          <w:b/>
          <w:i w:val="0"/>
          <w:color w:val="141414"/>
          <w:sz w:val="18"/>
        </w:rPr>
        <w:t>Selin’in kışlık botları artık ayağını sıkıyor ve su geçiriyor. Selin mağazaya gittiğinde çok şık, ışıklı bir spor ayakkabı görüyor ve onu almak istiyor. Ancak annesiönce bot almaları gerektiğini söylüyor. Selin’in bot alması ile ışıklı spor ayakkabı istemesini kaynaklardaki "ihtiyaç" ve "istek" tanımlarına göre karşılaştırarak Selin'in neden önce bot alması gerektiğini açıklayınız.</w:t>
      </w:r>
      <w:r>
        <w:rPr>
          <w:rFonts w:ascii="Calibri" w:hAnsi="Calibri"/>
          <w:b w:val="0"/>
          <w:i/>
          <w:color w:val="8B0000"/>
          <w:sz w:val="15"/>
        </w:rPr>
        <w:t xml:space="preserve">  [10 puan | SB.5.5.2.]</w:t>
      </w:r>
    </w:p>
    <w:p>
      <w:pPr>
        <w:spacing w:before="200" w:after="200"/>
      </w:pPr>
    </w:p>
    <w:p>
      <w:pPr>
        <w:spacing w:before="200" w:after="200"/>
      </w:pPr>
    </w:p>
    <w:p>
      <w:pPr>
        <w:spacing w:before="200" w:after="20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3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