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  –  CEVAP ANAHTARI</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Günlük hayatımızdan (aile, okul veya toplum) demokratik davranışlara 3 adet örnek veriniz.</w:t>
      </w:r>
      <w:r>
        <w:rPr>
          <w:rFonts w:ascii="Calibri" w:hAnsi="Calibri"/>
          <w:b w:val="0"/>
          <w:i/>
          <w:color w:val="8B0000"/>
          <w:sz w:val="15"/>
        </w:rPr>
        <w:t xml:space="preserve">  [15 Puan | SB.5.4.1.]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Ailede: Tatile gidilecek yere aile bireylerinin ortak kararıyla veya oylama ile karar verilmesi. Okulda: Sınıf başkanı seçimi yapılması veya okul kulüp çalışmalarının birlikte planlanması. Toplumda: Karşılaşılan bir sorunun çözümü için belediyeye dilekçe verilmesi veya ortak kullanım alanlarında sıraya girerek başkalarının haklarına saygı duyulması.</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Ayşe, her sabah okula giderken mahallesindeki parkın içinden geçmektedir. Son zamanlarda parktaki çöp kutularının yetersiz olduğunu ve çöplerin etrafa saçılarak çevre kirliliği oluşturduğunu fark eder. Ayşe bu durumdan çok rahatsız olur.</w:t>
      </w:r>
      <w:r>
        <w:rPr>
          <w:rFonts w:ascii="Calibri" w:hAnsi="Calibri"/>
          <w:b w:val="0"/>
          <w:i/>
          <w:color w:val="8B0000"/>
          <w:sz w:val="15"/>
        </w:rPr>
        <w:t xml:space="preserve">  [15 Puan | SB.5.4.2.]</w:t>
      </w:r>
    </w:p>
    <w:p>
      <w:pPr>
        <w:spacing w:before="0" w:after="0" w:line="240" w:lineRule="auto"/>
      </w:pPr>
      <w:r>
        <w:rPr>
          <w:rFonts w:ascii="Calibri" w:hAnsi="Calibri"/>
          <w:b w:val="0"/>
          <w:i w:val="0"/>
          <w:color w:val="141414"/>
          <w:sz w:val="18"/>
        </w:rPr>
        <w:t xml:space="preserve">    Ayşe, bu toplumsal sorunun çözümü için "vatandaşlık okuryazarlığı" becerisini kullanarak nasıl bir yol izleyebilir?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Ayşe, bu soruna kayıtsız kalmayarak etkin bir vatandaş gibi davranmalıdır. Sorunun çözümü için belediyeye bir dilekçe yazabilir veya ailesinin yardımıyla CİMER üzerinden yetkililere başvurabilir. Ayrıca çevresindeki arkadaşlarıyla bir araya gelerek geri dönüşüm ve temiz çevre konusunda farkındalık yaratacak çalışmalar yapabilir. Bu davranış, onun toplumsal meselelere duyarlı ve katılımcı biri olduğunu gösterir.</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Aşağıda verilen kavramları, karşılarındaki doğru açıklamalarla eşleştiriniz. (Kavramların başındaki numaraları, uygun açıklamaların yanındaki boşluklara yazabilirsiniz.)</w:t>
      </w:r>
      <w:r>
        <w:rPr>
          <w:rFonts w:ascii="Calibri" w:hAnsi="Calibri"/>
          <w:b w:val="0"/>
          <w:i/>
          <w:color w:val="8B0000"/>
          <w:sz w:val="15"/>
        </w:rPr>
        <w:t xml:space="preserve">  [15 Puan | SB.5.4.3.]</w:t>
      </w:r>
    </w:p>
    <w:tbl>
      <w:tblPr>
        <w:tblStyle w:val="TableGrid"/>
        <w:tblW w:type="auto" w:w="0"/>
        <w:tblLayout w:type="fixed"/>
        <w:tblLook w:firstColumn="1" w:firstRow="1" w:lastColumn="0" w:lastRow="0" w:noHBand="0" w:noVBand="1" w:val="04A0"/>
        <w:tblW w:w="5000" w:type="pct"/>
      </w:tblPr>
      <w:tblGrid>
        <w:gridCol w:w="5613"/>
        <w:gridCol w:w="5613"/>
      </w:tblGrid>
      <w:tr>
        <w:tc>
          <w:tcPr>
            <w:tcW w:type="dxa" w:w="5613"/>
            <w:shd w:val="clear" w:color="auto" w:fill="FFFFFF"/>
            <w:vAlign w:val="center"/>
          </w:tcPr>
          <w:p>
            <w:pPr>
              <w:spacing w:before="40" w:after="40"/>
            </w:pPr>
            <w:r>
              <w:t>(....) Kişinin kendi iradesine ve düşüncesine dayanarak, dış etkilerden bağımsız olarak karar verebilmesidir.</w:t>
            </w:r>
          </w:p>
        </w:tc>
        <w:tc>
          <w:tcPr>
            <w:tcW w:type="dxa" w:w="5613"/>
            <w:shd w:val="clear" w:color="auto" w:fill="FFFFFF"/>
            <w:vAlign w:val="center"/>
          </w:tcPr>
          <w:p>
            <w:pPr>
              <w:spacing w:before="40" w:after="40"/>
            </w:pPr>
            <w:r>
              <w:t>1) Özgürlük</w:t>
            </w:r>
          </w:p>
        </w:tc>
      </w:tr>
      <w:tr>
        <w:tc>
          <w:tcPr>
            <w:tcW w:type="dxa" w:w="5613"/>
            <w:shd w:val="clear" w:color="auto" w:fill="F2F2F2"/>
            <w:vAlign w:val="center"/>
          </w:tcPr>
          <w:p>
            <w:pPr>
              <w:spacing w:before="40" w:after="40"/>
            </w:pPr>
            <w:r>
              <w:t>(....) Bir insanın doğuştan sahip olduğu ve insanca yaşayabilmesi için gerekli olan vazgeçilmez haklardır.</w:t>
            </w:r>
          </w:p>
        </w:tc>
        <w:tc>
          <w:tcPr>
            <w:tcW w:type="dxa" w:w="5613"/>
            <w:shd w:val="clear" w:color="auto" w:fill="F2F2F2"/>
            <w:vAlign w:val="center"/>
          </w:tcPr>
          <w:p>
            <w:pPr>
              <w:spacing w:before="40" w:after="40"/>
            </w:pPr>
            <w:r>
              <w:t>2) Temel Haklar</w:t>
            </w:r>
          </w:p>
        </w:tc>
      </w:tr>
      <w:tr>
        <w:tc>
          <w:tcPr>
            <w:tcW w:type="dxa" w:w="5613"/>
            <w:shd w:val="clear" w:color="auto" w:fill="FFFFFF"/>
            <w:vAlign w:val="center"/>
          </w:tcPr>
          <w:p>
            <w:pPr>
              <w:spacing w:before="40" w:after="40"/>
            </w:pPr>
            <w:r>
              <w:t>(....) Kanun ve kurallara uymak, vergi vermek, oy kullanmak veya çevreyi korumak gibi ülkemize karşı yerine getirmemiz gereken eylemlerdir.</w:t>
            </w:r>
          </w:p>
        </w:tc>
        <w:tc>
          <w:tcPr>
            <w:tcW w:type="dxa" w:w="5613"/>
            <w:shd w:val="clear" w:color="auto" w:fill="FFFFFF"/>
            <w:vAlign w:val="center"/>
          </w:tcPr>
          <w:p>
            <w:pPr>
              <w:spacing w:before="40" w:after="40"/>
            </w:pPr>
            <w:r>
              <w:t>3) Vatandaşlık Görevlerimiz</w:t>
            </w:r>
          </w:p>
        </w:tc>
      </w:tr>
      <w:tr>
        <w:tc>
          <w:tcPr>
            <w:tcW w:type="dxa" w:w="5613"/>
            <w:shd w:val="clear" w:color="auto" w:fill="F2F2F2"/>
            <w:vAlign w:val="center"/>
          </w:tcPr>
          <w:p>
            <w:pPr>
              <w:spacing w:before="40" w:after="40"/>
            </w:pPr>
            <w:r>
              <w:t>(....) Kişinin kendisine ve başkalarına karşı yerine getirmesi gereken yükümlülükleri zamanında gerçekleştirmesidir.</w:t>
            </w:r>
          </w:p>
        </w:tc>
        <w:tc>
          <w:tcPr>
            <w:tcW w:type="dxa" w:w="5613"/>
            <w:shd w:val="clear" w:color="auto" w:fill="F2F2F2"/>
            <w:vAlign w:val="center"/>
          </w:tcPr>
          <w:p>
            <w:pPr>
              <w:spacing w:before="40" w:after="40"/>
            </w:pPr>
            <w:r>
              <w:t>4) Sorumluluk</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Kişinin kendi iradesine ve düşüncesine dayanarak, dış etkilerden bağımsız olarak karar verebilmesidir. → Özgürlük</w:t>
      </w:r>
      <w:r>
        <w:br/>
      </w:r>
      <w:r>
        <w:rPr>
          <w:rFonts w:ascii="Calibri" w:hAnsi="Calibri"/>
          <w:b w:val="0"/>
          <w:i w:val="0"/>
          <w:color w:val="008000"/>
          <w:sz w:val="18"/>
        </w:rPr>
        <w:t xml:space="preserve">  • Bir insanın doğuştan sahip olduğu ve insanca yaşayabilmesi için gerekli olan vazgeçilmez haklardır. → Temel Haklar</w:t>
      </w:r>
      <w:r>
        <w:br/>
      </w:r>
      <w:r>
        <w:rPr>
          <w:rFonts w:ascii="Calibri" w:hAnsi="Calibri"/>
          <w:b w:val="0"/>
          <w:i w:val="0"/>
          <w:color w:val="008000"/>
          <w:sz w:val="18"/>
        </w:rPr>
        <w:t xml:space="preserve">  • Kanun ve kurallara uymak, vergi vermek, oy kullanmak veya çevreyi korumak gibi ülkemize karşı yerine getirmemiz gereken eylemlerdir. → Vatandaşlık Görevlerimiz</w:t>
      </w:r>
      <w:r>
        <w:br/>
      </w:r>
      <w:r>
        <w:rPr>
          <w:rFonts w:ascii="Calibri" w:hAnsi="Calibri"/>
          <w:b w:val="0"/>
          <w:i w:val="0"/>
          <w:color w:val="008000"/>
          <w:sz w:val="18"/>
        </w:rPr>
        <w:t xml:space="preserve">  • Kişinin kendisine ve başkalarına karşı yerine getirmesi gereken yükümlülükleri zamanında gerçekleştirmesidir. → Sorumluluk</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Aşağıdaki görev tanımlarını ilgili yönetici ile eşleştiriniz.</w:t>
      </w:r>
      <w:r>
        <w:rPr>
          <w:rFonts w:ascii="Calibri" w:hAnsi="Calibri"/>
          <w:b w:val="0"/>
          <w:i/>
          <w:color w:val="8B0000"/>
          <w:sz w:val="15"/>
        </w:rPr>
        <w:t xml:space="preserve">  [15 Puan | SB.5.4.4.]</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5613"/>
        <w:gridCol w:w="5613"/>
      </w:tblGrid>
      <w:tr>
        <w:tc>
          <w:tcPr>
            <w:tcW w:type="dxa" w:w="5613"/>
            <w:shd w:val="clear" w:color="auto" w:fill="EAEAEA"/>
            <w:vAlign w:val="center"/>
          </w:tcPr>
          <w:p>
            <w:pPr>
              <w:jc w:val="center"/>
            </w:pPr>
            <w:r>
              <w:rPr>
                <w:b/>
                <w:sz w:val="17"/>
              </w:rPr>
              <w:t>Görev Tanımı</w:t>
            </w:r>
          </w:p>
        </w:tc>
        <w:tc>
          <w:tcPr>
            <w:tcW w:type="dxa" w:w="5613"/>
            <w:shd w:val="clear" w:color="auto" w:fill="EAEAEA"/>
            <w:vAlign w:val="center"/>
          </w:tcPr>
          <w:p>
            <w:pPr>
              <w:jc w:val="center"/>
            </w:pPr>
            <w:r>
              <w:rPr>
                <w:b/>
                <w:sz w:val="17"/>
              </w:rPr>
              <w:t>Yönetici</w:t>
            </w:r>
          </w:p>
        </w:tc>
      </w:tr>
      <w:tr>
        <w:tc>
          <w:tcPr>
            <w:tcW w:type="dxa" w:w="5613"/>
            <w:vAlign w:val="center"/>
            <w:shd w:val="clear" w:color="auto" w:fill="FAFAFA"/>
          </w:tcPr>
          <w:p>
            <w:r>
              <w:rPr>
                <w:sz w:val="17"/>
              </w:rPr>
              <w:t>İlçedeki tüm devlet dairelerini denetlemek.</w:t>
            </w:r>
          </w:p>
        </w:tc>
        <w:tc>
          <w:tcPr>
            <w:tcW w:type="dxa" w:w="5613"/>
            <w:vAlign w:val="center"/>
          </w:tcPr>
          <w:p>
            <w:pPr>
              <w:jc w:val="center"/>
            </w:pPr>
            <w:r>
              <w:rPr>
                <w:rFonts w:ascii="Calibri" w:hAnsi="Calibri"/>
                <w:b/>
                <w:color w:val="008000"/>
                <w:sz w:val="18"/>
              </w:rPr>
              <w:t>Kaymakam</w:t>
            </w:r>
          </w:p>
        </w:tc>
      </w:tr>
      <w:tr>
        <w:tc>
          <w:tcPr>
            <w:tcW w:type="dxa" w:w="5613"/>
            <w:vAlign w:val="center"/>
            <w:shd w:val="clear" w:color="auto" w:fill="FAFAFA"/>
          </w:tcPr>
          <w:p>
            <w:r>
              <w:rPr>
                <w:sz w:val="17"/>
              </w:rPr>
              <w:t>İlin kalkınması için bakanlıklarla iş birliği yapmak.</w:t>
            </w:r>
          </w:p>
        </w:tc>
        <w:tc>
          <w:tcPr>
            <w:tcW w:type="dxa" w:w="5613"/>
            <w:vAlign w:val="center"/>
          </w:tcPr>
          <w:p>
            <w:pPr>
              <w:jc w:val="center"/>
            </w:pPr>
            <w:r>
              <w:rPr>
                <w:rFonts w:ascii="Calibri" w:hAnsi="Calibri"/>
                <w:b/>
                <w:color w:val="008000"/>
                <w:sz w:val="18"/>
              </w:rPr>
              <w:t>Vali</w:t>
            </w:r>
          </w:p>
        </w:tc>
      </w:tr>
      <w:tr>
        <w:tc>
          <w:tcPr>
            <w:tcW w:type="dxa" w:w="5613"/>
            <w:vAlign w:val="center"/>
            <w:shd w:val="clear" w:color="auto" w:fill="FAFAFA"/>
          </w:tcPr>
          <w:p>
            <w:r>
              <w:rPr>
                <w:sz w:val="17"/>
              </w:rPr>
              <w:t>İtfaiye hizmetlerinin sunulmasını sağlamak.</w:t>
            </w:r>
          </w:p>
        </w:tc>
        <w:tc>
          <w:tcPr>
            <w:tcW w:type="dxa" w:w="5613"/>
            <w:vAlign w:val="center"/>
          </w:tcPr>
          <w:p>
            <w:pPr>
              <w:jc w:val="center"/>
            </w:pPr>
            <w:r>
              <w:rPr>
                <w:rFonts w:ascii="Calibri" w:hAnsi="Calibri"/>
                <w:b/>
                <w:color w:val="008000"/>
                <w:sz w:val="18"/>
              </w:rPr>
              <w:t>Belediye Başkanı</w:t>
            </w:r>
          </w:p>
        </w:tc>
      </w:tr>
      <w:tr>
        <w:tc>
          <w:tcPr>
            <w:tcW w:type="dxa" w:w="5613"/>
            <w:vAlign w:val="center"/>
            <w:shd w:val="clear" w:color="auto" w:fill="FAFAFA"/>
          </w:tcPr>
          <w:p>
            <w:r>
              <w:rPr>
                <w:sz w:val="17"/>
              </w:rPr>
              <w:t>Mahalledeki ihtiyaç sahiplerini gerekli yerlere bildirmek</w:t>
            </w:r>
          </w:p>
        </w:tc>
        <w:tc>
          <w:tcPr>
            <w:tcW w:type="dxa" w:w="5613"/>
            <w:vAlign w:val="center"/>
          </w:tcPr>
          <w:p>
            <w:pPr>
              <w:jc w:val="center"/>
            </w:pPr>
            <w:r>
              <w:rPr>
                <w:rFonts w:ascii="Calibri" w:hAnsi="Calibri"/>
                <w:b/>
                <w:color w:val="008000"/>
                <w:sz w:val="18"/>
              </w:rPr>
              <w:t>Muhtar</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Sıfır Atık Projesi kapsamında geliştirilen "5D Modeli" nedir? Bu modelin basamaklarını sırasıyla yazınız.</w:t>
      </w:r>
      <w:r>
        <w:rPr>
          <w:rFonts w:ascii="Calibri" w:hAnsi="Calibri"/>
          <w:b w:val="0"/>
          <w:i/>
          <w:color w:val="8B0000"/>
          <w:sz w:val="15"/>
        </w:rPr>
        <w:t xml:space="preserve">  [10 Puan | SB.5.5.1.]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5D Modeli, kaynakları doğru kullanmak ve israfı önlemek için geliştirilmiş bir yöntemdir. Basamakları şunlardır: Düşün (Gerekli değilse tüketme) Daha az tüket Değerlendir (Yeniden kullan) Değiştir (Farklı amaçla kullan) Dönüştür (Doğa kazansın)</w:t>
      </w: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[10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Güneş</w:t>
            </w:r>
          </w:p>
        </w:tc>
        <w:tc>
          <w:tcPr>
            <w:tcW w:type="dxa" w:w="2806"/>
            <w:shd w:val="clear" w:color="auto" w:fill="FAFAFA"/>
            <w:vAlign w:val="center"/>
          </w:tcPr>
          <w:p>
            <w:pPr>
              <w:jc w:val="left"/>
              <w:spacing w:before="20" w:after="20"/>
            </w:pPr>
            <w:r>
              <w:t>2. Kömür</w:t>
            </w:r>
          </w:p>
        </w:tc>
        <w:tc>
          <w:tcPr>
            <w:tcW w:type="dxa" w:w="2806"/>
            <w:shd w:val="clear" w:color="auto" w:fill="FAFAFA"/>
            <w:vAlign w:val="center"/>
          </w:tcPr>
          <w:p>
            <w:pPr>
              <w:jc w:val="left"/>
              <w:spacing w:before="20" w:after="20"/>
            </w:pPr>
            <w:r>
              <w:t>3. Bor Madeni</w:t>
            </w:r>
          </w:p>
        </w:tc>
        <w:tc>
          <w:tcPr>
            <w:tcW w:type="dxa" w:w="2806"/>
            <w:shd w:val="clear" w:color="auto" w:fill="FAFAFA"/>
            <w:vAlign w:val="center"/>
          </w:tcPr>
          <w:p>
            <w:pPr>
              <w:jc w:val="left"/>
              <w:spacing w:before="20" w:after="20"/>
            </w:pPr>
            <w:r>
              <w:t>4. Rüzgâr</w:t>
            </w:r>
          </w:p>
        </w:tc>
      </w:tr>
      <w:tr>
        <w:tc>
          <w:tcPr>
            <w:tcW w:type="dxa" w:w="2806"/>
            <w:shd w:val="clear" w:color="auto" w:fill="FAFAFA"/>
            <w:vAlign w:val="center"/>
          </w:tcPr>
          <w:p>
            <w:pPr>
              <w:jc w:val="left"/>
              <w:spacing w:before="20" w:after="20"/>
            </w:pPr>
            <w:r>
              <w:t>5. Petrol</w:t>
            </w:r>
          </w:p>
        </w:tc>
        <w:tc>
          <w:tcPr>
            <w:tcW w:type="dxa" w:w="2806"/>
            <w:shd w:val="clear" w:color="auto" w:fill="FAFAFA"/>
            <w:vAlign w:val="center"/>
          </w:tcPr>
          <w:p>
            <w:pPr>
              <w:jc w:val="left"/>
              <w:spacing w:before="20" w:after="20"/>
            </w:pPr>
            <w:r>
              <w:t>6. Ormanlar</w:t>
            </w:r>
          </w:p>
        </w:tc>
        <w:tc>
          <w:tcPr>
            <w:tcW w:type="dxa" w:w="2806"/>
            <w:shd w:val="clear" w:color="auto" w:fill="FAFAFA"/>
            <w:vAlign w:val="center"/>
          </w:tcPr>
          <w:p>
            <w:pPr>
              <w:jc w:val="left"/>
              <w:spacing w:before="20" w:after="20"/>
            </w:pPr>
            <w:r>
              <w:t>7. Doğal Gaz</w:t>
            </w:r>
          </w:p>
        </w:tc>
        <w:tc>
          <w:tcPr>
            <w:tcW w:type="dxa" w:w="2806"/>
            <w:shd w:val="clear" w:color="auto" w:fill="FAFAFA"/>
            <w:vAlign w:val="center"/>
          </w:tcPr>
          <w:p>
            <w:pPr>
              <w:jc w:val="left"/>
              <w:spacing w:before="20" w:after="20"/>
            </w:pPr>
            <w:r>
              <w:t>8. Su</w:t>
            </w:r>
          </w:p>
        </w:tc>
      </w:tr>
      <w:tr>
        <w:tc>
          <w:tcPr>
            <w:tcW w:type="dxa" w:w="2806"/>
            <w:shd w:val="clear" w:color="auto" w:fill="FAFAFA"/>
            <w:vAlign w:val="center"/>
          </w:tcPr>
          <w:p>
            <w:pPr>
              <w:jc w:val="left"/>
              <w:spacing w:before="20" w:after="20"/>
            </w:pPr>
            <w:r>
              <w:t>9. 5D Modeli</w:t>
            </w:r>
          </w:p>
        </w:tc>
        <w:tc>
          <w:tcPr>
            <w:tcW w:type="dxa" w:w="2806"/>
          </w:tcP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Yukarıdakilerden hangileri "Yenilenebilir (Tükenmeyen)" kaynaklar arasında yer alır? → Cevaplar: 1, 4, 6, 8</w:t>
      </w:r>
      <w:r>
        <w:br/>
      </w:r>
      <w:r>
        <w:rPr>
          <w:rFonts w:ascii="Calibri" w:hAnsi="Calibri"/>
          <w:b w:val="0"/>
          <w:i w:val="0"/>
          <w:color w:val="008000"/>
          <w:sz w:val="18"/>
        </w:rPr>
        <w:t xml:space="preserve">  • Yukarıdakilerden hangileri "Yenilenemeyen (Tükenen)" kaynaklar grubundadır? → Cevaplar: 2, 3, 5, 7</w:t>
      </w:r>
      <w:r>
        <w:br/>
      </w:r>
      <w:r>
        <w:rPr>
          <w:rFonts w:ascii="Calibri" w:hAnsi="Calibri"/>
          <w:b w:val="0"/>
          <w:i w:val="0"/>
          <w:color w:val="008000"/>
          <w:sz w:val="18"/>
        </w:rPr>
        <w:t xml:space="preserve">  • Ülkemizde roket yakıtı, sabun, deterjan ve ısıya dayanıklı cam yapımında kullanılan maden hangisidir? → Cevaplar: 3</w:t>
      </w:r>
      <w:r>
        <w:br/>
      </w:r>
      <w:r>
        <w:rPr>
          <w:rFonts w:ascii="Calibri" w:hAnsi="Calibri"/>
          <w:b w:val="0"/>
          <w:i w:val="0"/>
          <w:color w:val="008000"/>
          <w:sz w:val="18"/>
        </w:rPr>
        <w:t xml:space="preserve">  • Akarsular üzerine kurulan barajlar sayesinde elde edilen "hidroelektrik enerjisinin" temel kaynağı hangisidir? → Cevaplar: 8</w:t>
      </w:r>
      <w:r>
        <w:br/>
      </w:r>
      <w:r>
        <w:rPr>
          <w:rFonts w:ascii="Calibri" w:hAnsi="Calibri"/>
          <w:b w:val="0"/>
          <w:i w:val="0"/>
          <w:color w:val="008000"/>
          <w:sz w:val="18"/>
        </w:rPr>
        <w:t xml:space="preserve">  • "Düşün, Daha Az Tüket, Değerlendir, Değiştir, Dönüştür" basamaklarından oluşan israfı önleme yöntemi hangisidir? → Cevaplar: 9</w:t>
      </w:r>
      <w:r>
        <w:br/>
      </w:r>
      <w:r>
        <w:rPr>
          <w:rFonts w:ascii="Calibri" w:hAnsi="Calibri"/>
          <w:b w:val="0"/>
          <w:i w:val="0"/>
          <w:color w:val="008000"/>
          <w:sz w:val="18"/>
        </w:rPr>
        <w:t xml:space="preserve">  • Hangileri fosil yakıttır ve sera gazını artırdığı için kullanımı azaltılmalıdır? → Cevaplar: 2, 5, 7</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Aşağıdaki tabloda verilen harcamaların "Temel İhtiyaç", "Sosyal/Kültürel İhtiyaç" veya "İstek" olduğunu kutucuklara "X" koyarak belirtiniz.</w:t>
      </w:r>
      <w:r>
        <w:rPr>
          <w:rFonts w:ascii="Calibri" w:hAnsi="Calibri"/>
          <w:b w:val="0"/>
          <w:i/>
          <w:color w:val="8B0000"/>
          <w:sz w:val="15"/>
        </w:rPr>
        <w:t xml:space="preserve">  [10 Puan | SB.5.5.2.]</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2806"/>
        <w:gridCol w:w="2806"/>
        <w:gridCol w:w="2806"/>
        <w:gridCol w:w="2806"/>
      </w:tblGrid>
      <w:tr>
        <w:tc>
          <w:tcPr>
            <w:tcW w:type="dxa" w:w="2806"/>
            <w:shd w:val="clear" w:color="auto" w:fill="EAEAEA"/>
            <w:vAlign w:val="center"/>
          </w:tcPr>
          <w:p>
            <w:pPr>
              <w:jc w:val="center"/>
            </w:pPr>
            <w:r>
              <w:rPr>
                <w:b/>
                <w:sz w:val="17"/>
              </w:rPr>
              <w:t>Harcama Örneği</w:t>
            </w:r>
          </w:p>
        </w:tc>
        <w:tc>
          <w:tcPr>
            <w:tcW w:type="dxa" w:w="2806"/>
            <w:shd w:val="clear" w:color="auto" w:fill="EAEAEA"/>
            <w:vAlign w:val="center"/>
          </w:tcPr>
          <w:p>
            <w:pPr>
              <w:jc w:val="center"/>
            </w:pPr>
            <w:r>
              <w:rPr>
                <w:b/>
                <w:sz w:val="17"/>
              </w:rPr>
              <w:t>Temel İhtiyaç</w:t>
            </w:r>
          </w:p>
        </w:tc>
        <w:tc>
          <w:tcPr>
            <w:tcW w:type="dxa" w:w="2806"/>
            <w:shd w:val="clear" w:color="auto" w:fill="EAEAEA"/>
            <w:vAlign w:val="center"/>
          </w:tcPr>
          <w:p>
            <w:pPr>
              <w:jc w:val="center"/>
            </w:pPr>
            <w:r>
              <w:rPr>
                <w:b/>
                <w:sz w:val="17"/>
              </w:rPr>
              <w:t>Sosyal/Kültürel İhtiyaç</w:t>
            </w:r>
          </w:p>
        </w:tc>
        <w:tc>
          <w:tcPr>
            <w:tcW w:type="dxa" w:w="2806"/>
            <w:shd w:val="clear" w:color="auto" w:fill="EAEAEA"/>
            <w:vAlign w:val="center"/>
          </w:tcPr>
          <w:p>
            <w:pPr>
              <w:jc w:val="center"/>
            </w:pPr>
            <w:r>
              <w:rPr>
                <w:b/>
                <w:sz w:val="17"/>
              </w:rPr>
              <w:t>İstek</w:t>
            </w:r>
          </w:p>
        </w:tc>
      </w:tr>
      <w:tr>
        <w:tc>
          <w:tcPr>
            <w:tcW w:type="dxa" w:w="2806"/>
            <w:vAlign w:val="center"/>
            <w:shd w:val="clear" w:color="auto" w:fill="FAFAFA"/>
          </w:tcPr>
          <w:p>
            <w:r>
              <w:rPr>
                <w:sz w:val="17"/>
              </w:rPr>
              <w:t>Kışlık mont almak</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Sinemaya gitmek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Yeni çıkan bir oyun konsolu almak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r>
      <w:tr>
        <w:tc>
          <w:tcPr>
            <w:tcW w:type="dxa" w:w="2806"/>
            <w:vAlign w:val="center"/>
            <w:shd w:val="clear" w:color="auto" w:fill="FAFAFA"/>
          </w:tcPr>
          <w:p>
            <w:r>
              <w:rPr>
                <w:sz w:val="17"/>
              </w:rPr>
              <w:t>Su faturasını ödemek</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Pizza veya dondurma yemek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r>
      <w:tr>
        <w:tc>
          <w:tcPr>
            <w:tcW w:type="dxa" w:w="2806"/>
            <w:vAlign w:val="center"/>
            <w:shd w:val="clear" w:color="auto" w:fill="FAFAFA"/>
          </w:tcPr>
          <w:p>
            <w:r>
              <w:rPr>
                <w:sz w:val="17"/>
              </w:rPr>
              <w:t>Okul gezisine katılmak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"Ayağını yorganına göre uzat" atasözünün aile bütçesi hazırlama ile ilişkisini açıklayınız.</w:t>
      </w:r>
      <w:r>
        <w:rPr>
          <w:rFonts w:ascii="Calibri" w:hAnsi="Calibri"/>
          <w:b w:val="0"/>
          <w:i/>
          <w:color w:val="8B0000"/>
          <w:sz w:val="15"/>
        </w:rPr>
        <w:t xml:space="preserve">  [10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Bu atasözü, bir insanın harcamalarını ve giderlerini mutlaka gelirine göre ayarlaması gerektiğini ifade eder. Aile bütçesi planlanırken, gelirden daha fazla harcama yapılmamalı ve bütçede denge kurulmalıdır. Eğer giderler geliri aşarsa aile gereksiz borçlanma sorunuyla karşılaşabilir.</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