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1. DÖNEM   1. YAZILI SINAVI  –  CEVAP ANAHTARI</w:t>
      </w:r>
    </w:p>
    <w:p>
      <w:pPr>
        <w:spacing w:before="80" w:after="40"/>
        <w:pBdr>
          <w:left w:val="single" w:sz="12" w:space="4" w:color="228B22"/>
        </w:pBdr>
        <w:shd w:val="clear" w:color="auto" w:fill="F0F0F0"/>
      </w:pPr>
      <w:r>
        <w:rPr>
          <w:rFonts w:ascii="Calibri" w:hAnsi="Calibri"/>
          <w:b/>
          <w:color w:val="3C3C3C"/>
          <w:sz w:val="17"/>
        </w:rPr>
        <w:t>☐ Kutucukları kullanarak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Aşağıdaki kutucuk numaralarını kullanarak soruları cevaplayınız.</w:t>
      </w:r>
      <w:r>
        <w:rPr>
          <w:rFonts w:ascii="Calibri" w:hAnsi="Calibri"/>
          <w:b w:val="0"/>
          <w:i/>
          <w:color w:val="8B0000"/>
          <w:sz w:val="15"/>
        </w:rPr>
        <w:t xml:space="preserve">  [20 Puan | SB.5.4.1.]</w:t>
      </w:r>
    </w:p>
    <w:tbl>
      <w:tblPr>
        <w:tblStyle w:val="TableGrid"/>
        <w:tblW w:type="auto" w:w="0"/>
        <w:tblLook w:firstColumn="1" w:firstRow="1" w:lastColumn="0" w:lastRow="0" w:noHBand="0" w:noVBand="1" w:val="04A0"/>
      </w:tblPr>
      <w:tblGrid>
        <w:gridCol w:w="2806"/>
        <w:gridCol w:w="2806"/>
        <w:gridCol w:w="2806"/>
        <w:gridCol w:w="2806"/>
      </w:tblGrid>
      <w:tr>
        <w:tc>
          <w:tcPr>
            <w:tcW w:type="dxa" w:w="2806"/>
            <w:shd w:val="clear" w:color="auto" w:fill="FAFAFA"/>
            <w:vAlign w:val="center"/>
          </w:tcPr>
          <w:p>
            <w:pPr>
              <w:jc w:val="left"/>
              <w:spacing w:before="20" w:after="20"/>
            </w:pPr>
            <w:r>
              <w:t>1. Millî Egemenlik</w:t>
            </w:r>
          </w:p>
        </w:tc>
        <w:tc>
          <w:tcPr>
            <w:tcW w:type="dxa" w:w="2806"/>
            <w:shd w:val="clear" w:color="auto" w:fill="FAFAFA"/>
            <w:vAlign w:val="center"/>
          </w:tcPr>
          <w:p>
            <w:pPr>
              <w:jc w:val="left"/>
              <w:spacing w:before="20" w:after="20"/>
            </w:pPr>
            <w:r>
              <w:t>2. Sosyal Devlet</w:t>
            </w:r>
          </w:p>
        </w:tc>
        <w:tc>
          <w:tcPr>
            <w:tcW w:type="dxa" w:w="2806"/>
            <w:shd w:val="clear" w:color="auto" w:fill="FAFAFA"/>
            <w:vAlign w:val="center"/>
          </w:tcPr>
          <w:p>
            <w:pPr>
              <w:jc w:val="left"/>
              <w:spacing w:before="20" w:after="20"/>
            </w:pPr>
            <w:r>
              <w:t>3. Laik Devlet</w:t>
            </w:r>
          </w:p>
        </w:tc>
        <w:tc>
          <w:tcPr>
            <w:tcW w:type="dxa" w:w="2806"/>
            <w:shd w:val="clear" w:color="auto" w:fill="FAFAFA"/>
            <w:vAlign w:val="center"/>
          </w:tcPr>
          <w:p>
            <w:pPr>
              <w:jc w:val="left"/>
              <w:spacing w:before="20" w:after="20"/>
            </w:pPr>
            <w:r>
              <w:t>4. Çoğulculuk</w:t>
            </w:r>
          </w:p>
        </w:tc>
      </w:tr>
      <w:tr>
        <w:tc>
          <w:tcPr>
            <w:tcW w:type="dxa" w:w="2806"/>
            <w:shd w:val="clear" w:color="auto" w:fill="FAFAFA"/>
            <w:vAlign w:val="center"/>
          </w:tcPr>
          <w:p>
            <w:pPr>
              <w:jc w:val="left"/>
              <w:spacing w:before="20" w:after="20"/>
            </w:pPr>
            <w:r>
              <w:t>5. Hukuk Devleti</w:t>
            </w:r>
          </w:p>
        </w:tc>
        <w:tc>
          <w:tcPr>
            <w:tcW w:type="dxa" w:w="2806"/>
            <w:shd w:val="clear" w:color="auto" w:fill="FAFAFA"/>
            <w:vAlign w:val="center"/>
          </w:tcPr>
          <w:p>
            <w:pPr>
              <w:jc w:val="left"/>
              <w:spacing w:before="20" w:after="20"/>
            </w:pPr>
            <w:r>
              <w:t>6. Katılımcılık</w:t>
            </w:r>
          </w:p>
        </w:tc>
        <w:tc>
          <w:tcPr>
            <w:tcW w:type="dxa" w:w="2806"/>
          </w:tcPr>
          <w:p/>
        </w:tc>
        <w:tc>
          <w:tcPr>
            <w:tcW w:type="dxa" w:w="2806"/>
          </w:tcPr>
          <w:p/>
        </w:tc>
      </w:tr>
    </w:tbl>
    <w:p>
      <w:pPr>
        <w:spacing w:before="40" w:after="80" w:line="240" w:lineRule="auto"/>
      </w:pPr>
      <w:r>
        <w:rPr>
          <w:rFonts w:ascii="Calibri" w:hAnsi="Calibri"/>
          <w:b/>
          <w:i w:val="0"/>
          <w:color w:val="008000"/>
          <w:sz w:val="18"/>
        </w:rPr>
        <w:t>[ CEVAPLAR ]</w:t>
        <w:br/>
      </w:r>
      <w:r>
        <w:rPr>
          <w:rFonts w:ascii="Calibri" w:hAnsi="Calibri"/>
          <w:b w:val="0"/>
          <w:i w:val="0"/>
          <w:color w:val="008000"/>
          <w:sz w:val="18"/>
        </w:rPr>
        <w:t xml:space="preserve">  • Din ve devlet işlerinin ayrı olduğu, vicdan özgürlüğünün bulunduğu devlet niteliği hangisidir? → Cevaplar: 3</w:t>
      </w:r>
      <w:r>
        <w:br/>
      </w:r>
      <w:r>
        <w:rPr>
          <w:rFonts w:ascii="Calibri" w:hAnsi="Calibri"/>
          <w:b w:val="0"/>
          <w:i w:val="0"/>
          <w:color w:val="008000"/>
          <w:sz w:val="18"/>
        </w:rPr>
        <w:t xml:space="preserve">  • Devletin, vatandaşlarının ekonomik ve toplumsal ihtiyaçlarını karşılamak için çalışmasıdır. → Cevaplar: 2</w:t>
      </w:r>
      <w:r>
        <w:br/>
      </w:r>
      <w:r>
        <w:rPr>
          <w:rFonts w:ascii="Calibri" w:hAnsi="Calibri"/>
          <w:b w:val="0"/>
          <w:i w:val="0"/>
          <w:color w:val="008000"/>
          <w:sz w:val="18"/>
        </w:rPr>
        <w:t xml:space="preserve">  • Devleti yönetme yetkisinin bir kişiye değil, millete ait olmasıdır. → Cevaplar: 1</w:t>
      </w:r>
      <w:r>
        <w:br/>
      </w:r>
      <w:r>
        <w:rPr>
          <w:rFonts w:ascii="Calibri" w:hAnsi="Calibri"/>
          <w:b w:val="0"/>
          <w:i w:val="0"/>
          <w:color w:val="008000"/>
          <w:sz w:val="18"/>
        </w:rPr>
        <w:t xml:space="preserve">  • Mecliste farklı görüşlerin, farklı siyasi partilerle temsil edilmesine ne denir? → Cevaplar: 4</w:t>
      </w:r>
      <w:r>
        <w:br/>
      </w:r>
      <w:r>
        <w:rPr>
          <w:rFonts w:ascii="Calibri" w:hAnsi="Calibri"/>
          <w:b w:val="0"/>
          <w:i w:val="0"/>
          <w:color w:val="008000"/>
          <w:sz w:val="18"/>
        </w:rPr>
        <w:t xml:space="preserve">  • Vatandaşların oy kullanarak veya dilekçe vererek yönetime katkı sağlamasıdır. → Cevaplar: 6</w:t>
      </w: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2) </w:t>
      </w:r>
      <w:r>
        <w:rPr>
          <w:rFonts w:ascii="Calibri" w:hAnsi="Calibri"/>
          <w:b/>
          <w:i w:val="0"/>
          <w:color w:val="141414"/>
          <w:sz w:val="18"/>
        </w:rPr>
        <w:t>Ayşe, her sabah okula giderken mahallesindeki parkın içinden geçmektedir. Son zamanlarda parktaki çöp kutularının yetersiz olduğunu ve çöplerin etrafa saçılarak çevre kirliliği oluşturduğunu fark eder. Ayşe bu durumdan çok rahatsız olur.</w:t>
      </w:r>
      <w:r>
        <w:rPr>
          <w:rFonts w:ascii="Calibri" w:hAnsi="Calibri"/>
          <w:b w:val="0"/>
          <w:i/>
          <w:color w:val="8B0000"/>
          <w:sz w:val="15"/>
        </w:rPr>
        <w:t xml:space="preserve">  [20 Puan | SB.5.4.2.]</w:t>
      </w:r>
    </w:p>
    <w:p>
      <w:pPr>
        <w:spacing w:before="0" w:after="0" w:line="240" w:lineRule="auto"/>
      </w:pPr>
      <w:r>
        <w:rPr>
          <w:rFonts w:ascii="Calibri" w:hAnsi="Calibri"/>
          <w:b w:val="0"/>
          <w:i w:val="0"/>
          <w:color w:val="141414"/>
          <w:sz w:val="18"/>
        </w:rPr>
        <w:t xml:space="preserve">    Ayşe, bu toplumsal sorunun çözümü için "vatandaşlık okuryazarlığı" becerisini kullanarak nasıl bir yol izleyebilir?</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Ayşe, bu soruna kayıtsız kalmayarak etkin bir vatandaş gibi davranmalıdır. Sorunun çözümü için belediyeye bir dilekçe yazabilir veya ailesinin yardımıyla CİMER üzerinden yetkililere başvurabilir. Ayrıca çevresindeki arkadaşlarıyla bir araya gelerek geri dönüşüm ve temiz çevre konusunda farkındalık yaratacak çalışmalar yapabilir. Bu davranış, onun toplumsal meselelere duyarlı ve katılımcı biri olduğunu gösterir.</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Beşinci sınıf öğrencisi Elif, teneffüste arkadaşı Selin’in komik bir fotoğrafını çeker ve Selin’den izin almadan sınıf grubunda paylaşır. Selin bu duruma çok üzülür ve fotoğrafın silinmesini ister.</w:t>
      </w:r>
      <w:r>
        <w:rPr>
          <w:rFonts w:ascii="Calibri" w:hAnsi="Calibri"/>
          <w:b w:val="0"/>
          <w:i/>
          <w:color w:val="8B0000"/>
          <w:sz w:val="15"/>
        </w:rPr>
        <w:t xml:space="preserve">  [15 Puan | SB.5.4.3.]</w:t>
      </w:r>
    </w:p>
    <w:p>
      <w:pPr>
        <w:spacing w:before="0" w:after="0" w:line="240" w:lineRule="auto"/>
      </w:pPr>
      <w:r>
        <w:rPr>
          <w:rFonts w:ascii="Calibri" w:hAnsi="Calibri"/>
          <w:b w:val="0"/>
          <w:i w:val="0"/>
          <w:color w:val="141414"/>
          <w:sz w:val="18"/>
        </w:rPr>
        <w:t xml:space="preserve">    Elif, Selin’in hangi temel hakkını ihlal etmiştir ve notlardaki uyarıya göre özgürlüğünü kullanırken neyi unutmuştur?</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Elif, Selin’in özel hayatın gizliliği hakkını ihlal etmiştir. Elif, notlardaki "özgürlüğümüz bir başkasının hakkının başladığı yerde biter" kuralını unutmuş; kendi fotoğraf çekme özgürlüğünü kullanırken başkasının hakkına saygı gösterme sorumluluğunu yerine getirmemiştir.</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Yaşadığın çevrede sokakların çok kirlendiğini ve çöplerin günlerdir toplanmadığını fark ettin. Bu sorunun çözülmesi için hangi yöneticiye haber vermen gerekir? Nedenini kısaca açıklayınız.</w:t>
      </w:r>
      <w:r>
        <w:rPr>
          <w:rFonts w:ascii="Calibri" w:hAnsi="Calibri"/>
          <w:b w:val="0"/>
          <w:i/>
          <w:color w:val="8B0000"/>
          <w:sz w:val="15"/>
        </w:rPr>
        <w:t xml:space="preserve">  [15 Puan | SB.5.4.4.]</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Belediye Başkanı'na haber vermem gerekir. Çünkü çöplerin toplanması, yolların temizlenmesi ve halk sağlığının korunması gibi temel hizmetleri yapmak belediyenin görevidir.</w:t>
      </w:r>
    </w:p>
    <w:p>
      <w:pPr>
        <w:spacing w:before="80" w:after="40"/>
        <w:pBdr>
          <w:left w:val="single" w:sz="12" w:space="4" w:color="228B22"/>
        </w:pBdr>
        <w:shd w:val="clear" w:color="auto" w:fill="F0F0F0"/>
      </w:pPr>
      <w:r>
        <w:rPr>
          <w:rFonts w:ascii="Calibri" w:hAnsi="Calibri"/>
          <w:b/>
          <w:color w:val="3C3C3C"/>
          <w:sz w:val="17"/>
        </w:rPr>
        <w:t>▦ İstenen bilgileri tabloya yazınız.</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Aşağıdaki kaynakların hangi gruba girdiğini "X" koyarak işaretleyiniz.</w:t>
      </w:r>
      <w:r>
        <w:rPr>
          <w:rFonts w:ascii="Calibri" w:hAnsi="Calibri"/>
          <w:b w:val="0"/>
          <w:i/>
          <w:color w:val="8B0000"/>
          <w:sz w:val="15"/>
        </w:rPr>
        <w:t xml:space="preserve">  [15 Puan | SB.5.5.1.]</w:t>
      </w:r>
    </w:p>
    <w:p>
      <w:pPr>
        <w:spacing w:before="40" w:after="80" w:line="240" w:lineRule="auto"/>
        <w:spacing w:before="40" w:after="40"/>
      </w:pPr>
      <w:r>
        <w:rPr>
          <w:rFonts w:ascii="Calibri" w:hAnsi="Calibri"/>
          <w:b/>
          <w:i w:val="0"/>
          <w:color w:val="008000"/>
          <w:sz w:val="18"/>
        </w:rPr>
        <w:t>[ CEVAP TABLOSU ]</w:t>
        <w:br/>
      </w:r>
    </w:p>
    <w:tbl>
      <w:tblPr>
        <w:tblStyle w:val="TableGrid"/>
        <w:tblW w:type="auto" w:w="0"/>
        <w:tblLayout w:type="autofit"/>
        <w:tblLook w:firstColumn="1" w:firstRow="1" w:lastColumn="0" w:lastRow="0" w:noHBand="0" w:noVBand="1" w:val="04A0"/>
      </w:tblPr>
      <w:tblGrid>
        <w:gridCol w:w="3742"/>
        <w:gridCol w:w="3742"/>
        <w:gridCol w:w="3742"/>
      </w:tblGrid>
      <w:tr>
        <w:tc>
          <w:tcPr>
            <w:tcW w:type="dxa" w:w="3742"/>
            <w:shd w:val="clear" w:color="auto" w:fill="EAEAEA"/>
            <w:vAlign w:val="center"/>
          </w:tcPr>
          <w:p>
            <w:pPr>
              <w:jc w:val="center"/>
            </w:pPr>
            <w:r>
              <w:rPr>
                <w:b/>
                <w:sz w:val="17"/>
              </w:rPr>
              <w:t>Kaynak Adı</w:t>
            </w:r>
          </w:p>
        </w:tc>
        <w:tc>
          <w:tcPr>
            <w:tcW w:type="dxa" w:w="3742"/>
            <w:shd w:val="clear" w:color="auto" w:fill="EAEAEA"/>
            <w:vAlign w:val="center"/>
          </w:tcPr>
          <w:p>
            <w:pPr>
              <w:jc w:val="center"/>
            </w:pPr>
            <w:r>
              <w:rPr>
                <w:b/>
                <w:sz w:val="17"/>
              </w:rPr>
              <w:t>Yenilenebilir (Tükenmeyen)</w:t>
            </w:r>
          </w:p>
        </w:tc>
        <w:tc>
          <w:tcPr>
            <w:tcW w:type="dxa" w:w="3742"/>
            <w:shd w:val="clear" w:color="auto" w:fill="EAEAEA"/>
            <w:vAlign w:val="center"/>
          </w:tcPr>
          <w:p>
            <w:pPr>
              <w:jc w:val="center"/>
            </w:pPr>
            <w:r>
              <w:rPr>
                <w:b/>
                <w:sz w:val="17"/>
              </w:rPr>
              <w:t>Yenilenemeyen (Tükenen)</w:t>
            </w:r>
          </w:p>
        </w:tc>
      </w:tr>
      <w:tr>
        <w:tc>
          <w:tcPr>
            <w:tcW w:type="dxa" w:w="3742"/>
            <w:vAlign w:val="center"/>
            <w:shd w:val="clear" w:color="auto" w:fill="FAFAFA"/>
          </w:tcPr>
          <w:p>
            <w:r>
              <w:rPr>
                <w:sz w:val="17"/>
              </w:rPr>
              <w:t>Güneş</w:t>
            </w:r>
          </w:p>
        </w:tc>
        <w:tc>
          <w:tcPr>
            <w:tcW w:type="dxa" w:w="3742"/>
            <w:vAlign w:val="center"/>
          </w:tcPr>
          <w:p>
            <w:pPr>
              <w:jc w:val="center"/>
            </w:pPr>
            <w:r>
              <w:rPr>
                <w:rFonts w:ascii="Calibri" w:hAnsi="Calibri"/>
                <w:b/>
                <w:color w:val="008000"/>
                <w:sz w:val="18"/>
              </w:rPr>
              <w:t>X</w:t>
            </w:r>
          </w:p>
        </w:tc>
        <w:tc>
          <w:tcPr>
            <w:tcW w:type="dxa" w:w="3742"/>
            <w:vAlign w:val="center"/>
          </w:tcPr>
          <w:p>
            <w:pPr>
              <w:jc w:val="center"/>
            </w:pPr>
            <w:r>
              <w:rPr>
                <w:rFonts w:ascii="Calibri" w:hAnsi="Calibri"/>
                <w:b/>
                <w:color w:val="008000"/>
                <w:sz w:val="18"/>
              </w:rPr>
              <w:t>-</w:t>
            </w:r>
          </w:p>
        </w:tc>
      </w:tr>
      <w:tr>
        <w:tc>
          <w:tcPr>
            <w:tcW w:type="dxa" w:w="3742"/>
            <w:vAlign w:val="center"/>
            <w:shd w:val="clear" w:color="auto" w:fill="FAFAFA"/>
          </w:tcPr>
          <w:p>
            <w:r>
              <w:rPr>
                <w:sz w:val="17"/>
              </w:rPr>
              <w:t>Kömür</w:t>
            </w:r>
          </w:p>
        </w:tc>
        <w:tc>
          <w:tcPr>
            <w:tcW w:type="dxa" w:w="3742"/>
            <w:vAlign w:val="center"/>
          </w:tcPr>
          <w:p>
            <w:pPr>
              <w:jc w:val="center"/>
            </w:pPr>
            <w:r>
              <w:rPr>
                <w:rFonts w:ascii="Calibri" w:hAnsi="Calibri"/>
                <w:b/>
                <w:color w:val="008000"/>
                <w:sz w:val="18"/>
              </w:rPr>
              <w:t>-</w:t>
            </w:r>
          </w:p>
        </w:tc>
        <w:tc>
          <w:tcPr>
            <w:tcW w:type="dxa" w:w="3742"/>
            <w:vAlign w:val="center"/>
          </w:tcPr>
          <w:p>
            <w:pPr>
              <w:jc w:val="center"/>
            </w:pPr>
            <w:r>
              <w:rPr>
                <w:rFonts w:ascii="Calibri" w:hAnsi="Calibri"/>
                <w:b/>
                <w:color w:val="008000"/>
                <w:sz w:val="18"/>
              </w:rPr>
              <w:t>X</w:t>
            </w:r>
          </w:p>
        </w:tc>
      </w:tr>
      <w:tr>
        <w:tc>
          <w:tcPr>
            <w:tcW w:type="dxa" w:w="3742"/>
            <w:vAlign w:val="center"/>
            <w:shd w:val="clear" w:color="auto" w:fill="FAFAFA"/>
          </w:tcPr>
          <w:p>
            <w:r>
              <w:rPr>
                <w:sz w:val="17"/>
              </w:rPr>
              <w:t>Rüzgâr</w:t>
            </w:r>
          </w:p>
        </w:tc>
        <w:tc>
          <w:tcPr>
            <w:tcW w:type="dxa" w:w="3742"/>
            <w:vAlign w:val="center"/>
          </w:tcPr>
          <w:p>
            <w:pPr>
              <w:jc w:val="center"/>
            </w:pPr>
            <w:r>
              <w:rPr>
                <w:rFonts w:ascii="Calibri" w:hAnsi="Calibri"/>
                <w:b/>
                <w:color w:val="008000"/>
                <w:sz w:val="18"/>
              </w:rPr>
              <w:t>X</w:t>
            </w:r>
          </w:p>
        </w:tc>
        <w:tc>
          <w:tcPr>
            <w:tcW w:type="dxa" w:w="3742"/>
            <w:vAlign w:val="center"/>
          </w:tcPr>
          <w:p>
            <w:pPr>
              <w:jc w:val="center"/>
            </w:pPr>
            <w:r>
              <w:rPr>
                <w:rFonts w:ascii="Calibri" w:hAnsi="Calibri"/>
                <w:b/>
                <w:color w:val="008000"/>
                <w:sz w:val="18"/>
              </w:rPr>
              <w:t>-</w:t>
            </w:r>
          </w:p>
        </w:tc>
      </w:tr>
      <w:tr>
        <w:tc>
          <w:tcPr>
            <w:tcW w:type="dxa" w:w="3742"/>
            <w:vAlign w:val="center"/>
            <w:shd w:val="clear" w:color="auto" w:fill="FAFAFA"/>
          </w:tcPr>
          <w:p>
            <w:r>
              <w:rPr>
                <w:sz w:val="17"/>
              </w:rPr>
              <w:t>Doğal Gaz</w:t>
            </w:r>
          </w:p>
        </w:tc>
        <w:tc>
          <w:tcPr>
            <w:tcW w:type="dxa" w:w="3742"/>
            <w:vAlign w:val="center"/>
          </w:tcPr>
          <w:p>
            <w:pPr>
              <w:jc w:val="center"/>
            </w:pPr>
            <w:r>
              <w:rPr>
                <w:rFonts w:ascii="Calibri" w:hAnsi="Calibri"/>
                <w:b/>
                <w:color w:val="008000"/>
                <w:sz w:val="18"/>
              </w:rPr>
              <w:t>-</w:t>
            </w:r>
          </w:p>
        </w:tc>
        <w:tc>
          <w:tcPr>
            <w:tcW w:type="dxa" w:w="3742"/>
            <w:vAlign w:val="center"/>
          </w:tcPr>
          <w:p>
            <w:pPr>
              <w:jc w:val="center"/>
            </w:pPr>
            <w:r>
              <w:rPr>
                <w:rFonts w:ascii="Calibri" w:hAnsi="Calibri"/>
                <w:b/>
                <w:color w:val="008000"/>
                <w:sz w:val="18"/>
              </w:rPr>
              <w:t>X</w:t>
            </w:r>
          </w:p>
        </w:tc>
      </w:tr>
      <w:tr>
        <w:tc>
          <w:tcPr>
            <w:tcW w:type="dxa" w:w="3742"/>
            <w:vAlign w:val="center"/>
            <w:shd w:val="clear" w:color="auto" w:fill="FAFAFA"/>
          </w:tcPr>
          <w:p>
            <w:r>
              <w:rPr>
                <w:sz w:val="17"/>
              </w:rPr>
              <w:t>Toprak</w:t>
            </w:r>
          </w:p>
        </w:tc>
        <w:tc>
          <w:tcPr>
            <w:tcW w:type="dxa" w:w="3742"/>
            <w:vAlign w:val="center"/>
          </w:tcPr>
          <w:p>
            <w:pPr>
              <w:jc w:val="center"/>
            </w:pPr>
            <w:r>
              <w:rPr>
                <w:rFonts w:ascii="Calibri" w:hAnsi="Calibri"/>
                <w:b/>
                <w:color w:val="008000"/>
                <w:sz w:val="18"/>
              </w:rPr>
              <w:t>X</w:t>
            </w:r>
          </w:p>
        </w:tc>
        <w:tc>
          <w:tcPr>
            <w:tcW w:type="dxa" w:w="3742"/>
            <w:vAlign w:val="center"/>
          </w:tcPr>
          <w:p>
            <w:pPr>
              <w:jc w:val="center"/>
            </w:pPr>
            <w:r>
              <w:rPr>
                <w:rFonts w:ascii="Calibri" w:hAnsi="Calibri"/>
                <w:b/>
                <w:color w:val="008000"/>
                <w:sz w:val="18"/>
              </w:rPr>
              <w:t>-</w:t>
            </w:r>
          </w:p>
        </w:tc>
      </w:tr>
      <w:tr>
        <w:tc>
          <w:tcPr>
            <w:tcW w:type="dxa" w:w="3742"/>
            <w:vAlign w:val="center"/>
            <w:shd w:val="clear" w:color="auto" w:fill="FAFAFA"/>
          </w:tcPr>
          <w:p>
            <w:r>
              <w:rPr>
                <w:sz w:val="17"/>
              </w:rPr>
              <w:t>Madenler</w:t>
            </w:r>
          </w:p>
        </w:tc>
        <w:tc>
          <w:tcPr>
            <w:tcW w:type="dxa" w:w="3742"/>
            <w:vAlign w:val="center"/>
          </w:tcPr>
          <w:p>
            <w:pPr>
              <w:jc w:val="center"/>
            </w:pPr>
            <w:r>
              <w:rPr>
                <w:rFonts w:ascii="Calibri" w:hAnsi="Calibri"/>
                <w:b/>
                <w:color w:val="008000"/>
                <w:sz w:val="18"/>
              </w:rPr>
              <w:t>-</w:t>
            </w:r>
          </w:p>
        </w:tc>
        <w:tc>
          <w:tcPr>
            <w:tcW w:type="dxa" w:w="3742"/>
            <w:vAlign w:val="center"/>
          </w:tcPr>
          <w:p>
            <w:pPr>
              <w:jc w:val="center"/>
            </w:pPr>
            <w:r>
              <w:rPr>
                <w:rFonts w:ascii="Calibri" w:hAnsi="Calibri"/>
                <w:b/>
                <w:color w:val="008000"/>
                <w:sz w:val="18"/>
              </w:rPr>
              <w:t>X</w:t>
            </w:r>
          </w:p>
        </w:tc>
      </w:tr>
    </w:tbl>
    <w:p>
      <w:pPr>
        <w:spacing w:before="40" w:after="40"/>
      </w:pP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6) </w:t>
      </w:r>
      <w:r>
        <w:rPr>
          <w:rFonts w:ascii="Calibri" w:hAnsi="Calibri"/>
          <w:b/>
          <w:i w:val="0"/>
          <w:color w:val="141414"/>
          <w:sz w:val="18"/>
        </w:rPr>
        <w:t>Bir aile aylık 10.000 TL gelir elde etmesine rağmen her ay 12.000 TL harcama yapıyor ve sürekli borçlanıyor. Bu ailenin bütçe planlamasındaki temel hatasını kaynaklardaki bilgilere göre tespit ediniz ve bu durumu en iyi özetleyen atasözünü yazınız.</w:t>
      </w:r>
      <w:r>
        <w:rPr>
          <w:rFonts w:ascii="Calibri" w:hAnsi="Calibri"/>
          <w:b w:val="0"/>
          <w:i/>
          <w:color w:val="8B0000"/>
          <w:sz w:val="15"/>
        </w:rPr>
        <w:t xml:space="preserve">  [15 Puan | SB.5.5.2.]</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Bu ailenin temel hatası, giderlerinin gelirlerini aşmasıdır; oysa bilinçli bir bütçede giderler geliri aşmamalıdır. Bu durumu en iyi açıklayan atasözü "Ayağını yorganına göre uzat" sözüdür. Aile harcama alışkanlıklarını gözden geçirmeli ve bütçesini dengelemek için bazı isteklerinden vazgeçmelidir.</w:t>
      </w:r>
    </w:p>
    <w:p/>
    <w:tbl>
      <w:tblPr>
        <w:tblW w:type="auto" w:w="0"/>
        <w:tblLook w:firstColumn="1" w:firstRow="1" w:lastColumn="0" w:lastRow="0" w:noHBand="0" w:noVBand="1" w:val="04A0"/>
        <w:tblBorders>
          <w:top w:val="none"/>
          <w:left w:val="none"/>
          <w:bottom w:val="none"/>
          <w:right w:val="none"/>
          <w:insideH w:val="none"/>
          <w:insideV w:val="none"/>
        </w:tblBorders>
      </w:tblPr>
      <w:tblGrid>
        <w:gridCol w:w="5613"/>
        <w:gridCol w:w="5613"/>
      </w:tblGrid>
      <w:tr>
        <w:tc>
          <w:tcPr>
            <w:tcW w:type="dxa" w:w="9"/>
          </w:tcPr>
          <w:p>
            <w:r>
              <w:rPr>
                <w:rFonts w:ascii="Calibri" w:hAnsi="Calibri"/>
                <w:b/>
                <w:i w:val="0"/>
                <w:color w:val="3C3C3C"/>
              </w:rPr>
              <w:t>Cevap anahtarı üzerinden kontrollerinizi yapınız.</w:t>
              <w:br/>
              <w:t>İyi çalışmalar dilerim.</w:t>
            </w:r>
          </w:p>
        </w:tc>
        <w:tc>
          <w:tcPr>
            <w:tcW w:type="dxa" w:w="9"/>
          </w:tcPr>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2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cevap anahtarı </w:t>
      </w:r>
      <w:r>
        <w:rPr>
          <w:rFonts w:ascii="Calibri" w:hAnsi="Calibri"/>
          <w:b/>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