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Mahallede yapılacak yeni kütüphanenin yeri tartışılırken, 6. sınıf öğrencisi Arda fikrini söylemek istemiş ancak bir yetişkin "Sen daha çocuksun, büyüklerin işine karışma" diyerek onu susturmaya çalışmıştır.</w:t>
      </w:r>
      <w:r>
        <w:rPr>
          <w:rFonts w:ascii="Calibri" w:hAnsi="Calibri"/>
          <w:b w:val="0"/>
          <w:i/>
          <w:color w:val="8B0000"/>
          <w:sz w:val="15"/>
        </w:rPr>
        <w:t xml:space="preserve">  [20 puan | SB.6.4.2.]</w:t>
      </w:r>
    </w:p>
    <w:p>
      <w:pPr>
        <w:spacing w:before="0" w:after="0" w:line="240" w:lineRule="auto"/>
      </w:pPr>
      <w:r>
        <w:rPr>
          <w:rFonts w:ascii="Calibri" w:hAnsi="Calibri"/>
          <w:b w:val="0"/>
          <w:i w:val="0"/>
          <w:color w:val="141414"/>
          <w:sz w:val="18"/>
        </w:rPr>
        <w:t xml:space="preserve">    Arda’nın susturulmaya çalışılması, Anayasa’nın hangi maddesine aykırıdır?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2) </w:t>
      </w:r>
      <w:r>
        <w:rPr>
          <w:rFonts w:ascii="Calibri" w:hAnsi="Calibri"/>
          <w:b/>
          <w:i w:val="0"/>
          <w:color w:val="141414"/>
          <w:sz w:val="18"/>
        </w:rPr>
        <w:t>6. sınıf öğrencisi Selin, okulda girdiği sınavların notlarını, devamsızlık bilgilerini ve dönem sonunda alacağı takdir-teşekkür belgesini kontrol etmek istemektedir. Selin'in bu bilgilere ulaşması için Milli Eğitim Bakanlığı tarafından sunulan hizmetin adı nedir?</w:t>
      </w:r>
      <w:r>
        <w:rPr>
          <w:rFonts w:ascii="Calibri" w:hAnsi="Calibri"/>
          <w:b w:val="0"/>
          <w:i/>
          <w:color w:val="8B0000"/>
          <w:sz w:val="15"/>
        </w:rPr>
        <w:t xml:space="preserve">  [20 puan | SB.6.4.3.]</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kavramları uygun açıklamalarla eşleştiriniz.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Aşağıdaki madenleri/kaynakları ve onların en çok kullanıldığı alanları doğru şekilde eşleştiriniz</w:t>
      </w:r>
      <w:r>
        <w:rPr>
          <w:rFonts w:ascii="Calibri" w:hAnsi="Calibri"/>
          <w:b w:val="0"/>
          <w:i/>
          <w:color w:val="8B0000"/>
          <w:sz w:val="15"/>
        </w:rPr>
        <w:t xml:space="preserve">  [15 puan | SB.6.5.1.]</w:t>
      </w:r>
    </w:p>
    <w:tbl>
      <w:tblPr>
        <w:tblStyle w:val="TableGrid"/>
        <w:tblW w:type="auto" w:w="0"/>
        <w:tblLook w:firstColumn="1" w:firstRow="1" w:lastColumn="0" w:lastRow="0" w:noHBand="0" w:noVBand="1" w:val="04A0"/>
      </w:tblPr>
      <w:tblGrid>
        <w:gridCol w:w="5613"/>
        <w:gridCol w:w="5613"/>
      </w:tblGrid>
      <w:tr>
        <w:tc>
          <w:tcPr>
            <w:tcW w:type="dxa" w:w="5102"/>
            <w:shd w:val="clear" w:color="auto" w:fill="FFFFFF"/>
            <w:vAlign w:val="center"/>
          </w:tcPr>
          <w:p>
            <w:pPr>
              <w:spacing w:before="40" w:after="40"/>
            </w:pPr>
            <w:r>
              <w:t>Bor Mineralleri</w:t>
            </w:r>
          </w:p>
        </w:tc>
        <w:tc>
          <w:tcPr>
            <w:tcW w:type="dxa" w:w="5102"/>
            <w:shd w:val="clear" w:color="auto" w:fill="FFFFFF"/>
            <w:vAlign w:val="center"/>
          </w:tcPr>
          <w:p>
            <w:pPr>
              <w:spacing w:before="40" w:after="40"/>
            </w:pPr>
            <w:r>
              <w:t>1) Mobilya ve Kâğıt üretimi</w:t>
            </w:r>
          </w:p>
        </w:tc>
      </w:tr>
      <w:tr>
        <w:tc>
          <w:tcPr>
            <w:tcW w:type="dxa" w:w="5102"/>
            <w:shd w:val="clear" w:color="auto" w:fill="F2F2F2"/>
            <w:vAlign w:val="center"/>
          </w:tcPr>
          <w:p>
            <w:pPr>
              <w:spacing w:before="40" w:after="40"/>
            </w:pPr>
            <w:r>
              <w:t>Jeotermal Enerji</w:t>
            </w:r>
          </w:p>
        </w:tc>
        <w:tc>
          <w:tcPr>
            <w:tcW w:type="dxa" w:w="5102"/>
            <w:shd w:val="clear" w:color="auto" w:fill="F2F2F2"/>
            <w:vAlign w:val="center"/>
          </w:tcPr>
          <w:p>
            <w:pPr>
              <w:spacing w:before="40" w:after="40"/>
            </w:pPr>
            <w:r>
              <w:t>2) Demir-çelik sanayisinde yakıt</w:t>
            </w:r>
          </w:p>
        </w:tc>
      </w:tr>
      <w:tr>
        <w:tc>
          <w:tcPr>
            <w:tcW w:type="dxa" w:w="5102"/>
            <w:shd w:val="clear" w:color="auto" w:fill="FFFFFF"/>
            <w:vAlign w:val="center"/>
          </w:tcPr>
          <w:p>
            <w:pPr>
              <w:spacing w:before="40" w:after="40"/>
            </w:pPr>
            <w:r>
              <w:t>Taş Kömürü</w:t>
            </w:r>
          </w:p>
        </w:tc>
        <w:tc>
          <w:tcPr>
            <w:tcW w:type="dxa" w:w="5102"/>
            <w:shd w:val="clear" w:color="auto" w:fill="FFFFFF"/>
            <w:vAlign w:val="center"/>
          </w:tcPr>
          <w:p>
            <w:pPr>
              <w:spacing w:before="40" w:after="40"/>
            </w:pPr>
            <w:r>
              <w:t>3) Isınma ve Sağlık Turizmi (Kaplıca)</w:t>
            </w:r>
          </w:p>
        </w:tc>
      </w:tr>
      <w:tr>
        <w:tc>
          <w:tcPr>
            <w:tcW w:type="dxa" w:w="5102"/>
            <w:shd w:val="clear" w:color="auto" w:fill="F2F2F2"/>
            <w:vAlign w:val="center"/>
          </w:tcPr>
          <w:p>
            <w:pPr>
              <w:spacing w:before="40" w:after="40"/>
            </w:pPr>
            <w:r>
              <w:t>Oltu Taşı</w:t>
            </w:r>
          </w:p>
        </w:tc>
        <w:tc>
          <w:tcPr>
            <w:tcW w:type="dxa" w:w="5102"/>
            <w:shd w:val="clear" w:color="auto" w:fill="F2F2F2"/>
            <w:vAlign w:val="center"/>
          </w:tcPr>
          <w:p>
            <w:pPr>
              <w:spacing w:before="40" w:after="40"/>
            </w:pPr>
            <w:r>
              <w:t>4) Cam sanayisi ve Roket yakıtı</w:t>
            </w:r>
          </w:p>
        </w:tc>
      </w:tr>
      <w:tr>
        <w:tc>
          <w:tcPr>
            <w:tcW w:type="dxa" w:w="5102"/>
            <w:shd w:val="clear" w:color="auto" w:fill="FFFFFF"/>
            <w:vAlign w:val="center"/>
          </w:tcPr>
          <w:p>
            <w:pPr>
              <w:spacing w:before="40" w:after="40"/>
            </w:pPr>
            <w:r>
              <w:t>Ormanlar</w:t>
            </w:r>
          </w:p>
        </w:tc>
        <w:tc>
          <w:tcPr>
            <w:tcW w:type="dxa" w:w="5102"/>
            <w:shd w:val="clear" w:color="auto" w:fill="FFFFFF"/>
            <w:vAlign w:val="center"/>
          </w:tcPr>
          <w:p>
            <w:pPr>
              <w:spacing w:before="40" w:after="40"/>
            </w:pPr>
            <w:r>
              <w:t>5) Takı ve Tespih yapımı</w:t>
            </w:r>
          </w:p>
        </w:tc>
      </w:tr>
    </w:tbl>
    <w:p>
      <w:pPr>
        <w:spacing w:before="40" w:after="4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İnsanlar bulundukları yerdeki doğal kaynaklara göre ekonomik faaliyet yaparlar. Eğer Konya gibi geniş tarım arazilerinin ve otlakların bulunduğu bir bölgede yaşasaydın, ailenin geçimini sağlamak için hangi ekonomik faaliyetleri yapmayı tercih ederdin? Nedenleriyle açıklayınız.</w:t>
      </w:r>
      <w:r>
        <w:rPr>
          <w:rFonts w:ascii="Calibri" w:hAnsi="Calibri"/>
          <w:b w:val="0"/>
          <w:i/>
          <w:color w:val="8B0000"/>
          <w:sz w:val="15"/>
        </w:rPr>
        <w:t xml:space="preserve">  [15 puan | SB.6.5.1.]</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5) </w:t>
      </w:r>
      <w:r>
        <w:rPr>
          <w:rFonts w:ascii="Calibri" w:hAnsi="Calibri"/>
          <w:b/>
          <w:i w:val="0"/>
          <w:color w:val="141414"/>
          <w:sz w:val="18"/>
        </w:rPr>
        <w:t>Eskiden çok yaygın olan "Nalbantlık" ve "Kalaycılık" gibi mesleklerin günümüzde yok olmaya yüz tutmasının sebepleri nelerdir?</w:t>
      </w:r>
      <w:r>
        <w:rPr>
          <w:rFonts w:ascii="Calibri" w:hAnsi="Calibri"/>
          <w:b w:val="0"/>
          <w:i/>
          <w:color w:val="8B0000"/>
          <w:sz w:val="15"/>
        </w:rPr>
        <w:t xml:space="preserve">  [15 puan | SB.6.5.2.]</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kavramları uygun açıklamalarla eşleştiriniz.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 verilen tanımları doğru kelimelerle eşleştiriniz.</w:t>
      </w:r>
      <w:r>
        <w:rPr>
          <w:rFonts w:ascii="Calibri" w:hAnsi="Calibri"/>
          <w:b w:val="0"/>
          <w:i/>
          <w:color w:val="8B0000"/>
          <w:sz w:val="15"/>
        </w:rPr>
        <w:t xml:space="preserve">  [15 puan | SB.6.5.3.]</w:t>
      </w:r>
    </w:p>
    <w:tbl>
      <w:tblPr>
        <w:tblStyle w:val="TableGrid"/>
        <w:tblW w:type="auto" w:w="0"/>
        <w:tblLook w:firstColumn="1" w:firstRow="1" w:lastColumn="0" w:lastRow="0" w:noHBand="0" w:noVBand="1" w:val="04A0"/>
      </w:tblPr>
      <w:tblGrid>
        <w:gridCol w:w="5613"/>
        <w:gridCol w:w="5613"/>
      </w:tblGrid>
      <w:tr>
        <w:tc>
          <w:tcPr>
            <w:tcW w:type="dxa" w:w="5102"/>
            <w:shd w:val="clear" w:color="auto" w:fill="FFFFFF"/>
            <w:vAlign w:val="center"/>
          </w:tcPr>
          <w:p>
            <w:pPr>
              <w:spacing w:before="40" w:after="40"/>
            </w:pPr>
            <w:r>
              <w:t>Yapılan veya üretilen ürünlerin kullanılıp harcanmasıdır.</w:t>
            </w:r>
          </w:p>
        </w:tc>
        <w:tc>
          <w:tcPr>
            <w:tcW w:type="dxa" w:w="5102"/>
            <w:shd w:val="clear" w:color="auto" w:fill="FFFFFF"/>
            <w:vAlign w:val="center"/>
          </w:tcPr>
          <w:p>
            <w:pPr>
              <w:spacing w:before="40" w:after="40"/>
            </w:pPr>
            <w:r>
              <w:t>1) AR-GE</w:t>
            </w:r>
          </w:p>
        </w:tc>
      </w:tr>
      <w:tr>
        <w:tc>
          <w:tcPr>
            <w:tcW w:type="dxa" w:w="5102"/>
            <w:shd w:val="clear" w:color="auto" w:fill="F2F2F2"/>
            <w:vAlign w:val="center"/>
          </w:tcPr>
          <w:p>
            <w:pPr>
              <w:spacing w:before="40" w:after="40"/>
            </w:pPr>
            <w:r>
              <w:t>Ürün ve hizmetlerin tanıtılması, müşterilere sunulması ve satışının gerçekleştirilmesi süreçleridir.</w:t>
            </w:r>
          </w:p>
        </w:tc>
        <w:tc>
          <w:tcPr>
            <w:tcW w:type="dxa" w:w="5102"/>
            <w:shd w:val="clear" w:color="auto" w:fill="F2F2F2"/>
            <w:vAlign w:val="center"/>
          </w:tcPr>
          <w:p>
            <w:pPr>
              <w:spacing w:before="40" w:after="40"/>
            </w:pPr>
            <w:r>
              <w:t>2) Pazarlama</w:t>
            </w:r>
          </w:p>
        </w:tc>
      </w:tr>
      <w:tr>
        <w:tc>
          <w:tcPr>
            <w:tcW w:type="dxa" w:w="5102"/>
            <w:shd w:val="clear" w:color="auto" w:fill="FFFFFF"/>
            <w:vAlign w:val="center"/>
          </w:tcPr>
          <w:p>
            <w:pPr>
              <w:spacing w:before="40" w:after="40"/>
            </w:pPr>
            <w:r>
              <w:t>Bir ticaret işinin kurulması, yürütülmesi için gereken anapara ve paraya çevrilebilir malların tamamıdır.</w:t>
            </w:r>
          </w:p>
        </w:tc>
        <w:tc>
          <w:tcPr>
            <w:tcW w:type="dxa" w:w="5102"/>
            <w:shd w:val="clear" w:color="auto" w:fill="FFFFFF"/>
            <w:vAlign w:val="center"/>
          </w:tcPr>
          <w:p>
            <w:pPr>
              <w:spacing w:before="40" w:after="40"/>
            </w:pPr>
            <w:r>
              <w:t>3) Üretim</w:t>
            </w:r>
          </w:p>
        </w:tc>
      </w:tr>
      <w:tr>
        <w:tc>
          <w:tcPr>
            <w:tcW w:type="dxa" w:w="5102"/>
            <w:shd w:val="clear" w:color="auto" w:fill="F2F2F2"/>
            <w:vAlign w:val="center"/>
          </w:tcPr>
          <w:p>
            <w:pPr>
              <w:spacing w:before="40" w:after="40"/>
            </w:pPr>
            <w:r>
              <w:t>Bilgi dağarcığını artırmak amacıyla sistematik olarak sürdürülen yaratıcı çalışma ve bu bilginin yeni uygulamalar ortaya koymak için kullanılması dır.</w:t>
            </w:r>
          </w:p>
        </w:tc>
        <w:tc>
          <w:tcPr>
            <w:tcW w:type="dxa" w:w="5102"/>
            <w:shd w:val="clear" w:color="auto" w:fill="F2F2F2"/>
            <w:vAlign w:val="center"/>
          </w:tcPr>
          <w:p>
            <w:pPr>
              <w:spacing w:before="40" w:after="40"/>
            </w:pPr>
            <w:r>
              <w:t>4) Tüketim</w:t>
            </w:r>
          </w:p>
        </w:tc>
      </w:tr>
      <w:tr>
        <w:tc>
          <w:tcPr>
            <w:tcW w:type="dxa" w:w="5102"/>
            <w:shd w:val="clear" w:color="auto" w:fill="FFFFFF"/>
            <w:vAlign w:val="center"/>
          </w:tcPr>
          <w:p>
            <w:pPr>
              <w:spacing w:before="40" w:after="40"/>
            </w:pPr>
            <w:r>
              <w:t>Belirli faaliyet ve işlemler sonucu yeni bir mal veya hizmet meydana getirmektir.</w:t>
            </w:r>
          </w:p>
        </w:tc>
        <w:tc>
          <w:tcPr>
            <w:tcW w:type="dxa" w:w="5102"/>
            <w:shd w:val="clear" w:color="auto" w:fill="FFFFFF"/>
            <w:vAlign w:val="center"/>
          </w:tcPr>
          <w:p>
            <w:pPr>
              <w:spacing w:before="40" w:after="40"/>
            </w:pPr>
            <w:r>
              <w:t>5) Sermaye</w:t>
            </w:r>
          </w:p>
        </w:tc>
      </w:tr>
      <w:tr>
        <w:tc>
          <w:tcPr>
            <w:tcW w:type="dxa" w:w="5102"/>
            <w:shd w:val="clear" w:color="auto" w:fill="F2F2F2"/>
            <w:vAlign w:val="center"/>
          </w:tcPr>
          <w:p>
            <w:pPr>
              <w:spacing w:before="40" w:after="40"/>
            </w:pPr>
            <w:r>
              <w:t>Bir kaynağın ya da değerin gelir sağlamak amacıyla kalıcı olarak kullanılmasıdır.</w:t>
            </w:r>
          </w:p>
        </w:tc>
        <w:tc>
          <w:tcPr>
            <w:tcW w:type="dxa" w:w="5102"/>
            <w:shd w:val="clear" w:color="auto" w:fill="F2F2F2"/>
            <w:vAlign w:val="center"/>
          </w:tcPr>
          <w:p>
            <w:pPr>
              <w:spacing w:before="40" w:after="40"/>
            </w:pPr>
            <w:r>
              <w:t>6) Yatırım</w:t>
            </w:r>
          </w:p>
        </w:tc>
      </w:tr>
    </w:tbl>
    <w:p>
      <w:pPr>
        <w:spacing w:before="40" w:after="4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3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