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1. DÖNEM   1. YAZILI SINAVI</w:t>
      </w:r>
    </w:p>
    <w:tbl>
      <w:tblPr>
        <w:tblStyle w:val="TableGrid"/>
        <w:tblW w:type="auto" w:w="0"/>
        <w:tblLook w:firstColumn="1" w:firstRow="1" w:lastColumn="0" w:lastRow="0" w:noHBand="0" w:noVBand="1" w:val="04A0"/>
      </w:tblPr>
      <w:tblGrid>
        <w:gridCol w:w="2245"/>
        <w:gridCol w:w="2245"/>
        <w:gridCol w:w="2245"/>
        <w:gridCol w:w="2245"/>
        <w:gridCol w:w="2245"/>
      </w:tblGrid>
      <w:tr>
        <w:trPr>
          <w:trHeight w:val="454"/>
        </w:trPr>
        <w:tc>
          <w:tcPr>
            <w:tcW w:type="dxa" w:w="2835"/>
            <w:vAlign w:val="center"/>
            <w:shd w:val="clear" w:color="auto" w:fill="FAFAFA"/>
          </w:tcPr>
          <w:p>
            <w:pPr>
              <w:jc w:val="left"/>
            </w:pPr>
            <w:r>
              <w:rPr>
                <w:b/>
                <w:color w:val="141414"/>
                <w:sz w:val="18"/>
              </w:rPr>
              <w:t>Adı:</w:t>
              <w:br/>
            </w:r>
          </w:p>
        </w:tc>
        <w:tc>
          <w:tcPr>
            <w:tcW w:type="dxa" w:w="2835"/>
            <w:vAlign w:val="center"/>
            <w:shd w:val="clear" w:color="auto" w:fill="FAFAFA"/>
          </w:tcPr>
          <w:p>
            <w:pPr>
              <w:jc w:val="left"/>
            </w:pPr>
            <w:r>
              <w:rPr>
                <w:b/>
                <w:color w:val="141414"/>
                <w:sz w:val="18"/>
              </w:rPr>
              <w:t>Soyadı:</w:t>
              <w:br/>
            </w:r>
          </w:p>
        </w:tc>
        <w:tc>
          <w:tcPr>
            <w:tcW w:type="dxa" w:w="1587"/>
            <w:vAlign w:val="center"/>
            <w:shd w:val="clear" w:color="auto" w:fill="FAFAFA"/>
          </w:tcPr>
          <w:p>
            <w:pPr>
              <w:jc w:val="left"/>
            </w:pPr>
            <w:r>
              <w:rPr>
                <w:b/>
                <w:color w:val="141414"/>
                <w:sz w:val="18"/>
              </w:rPr>
              <w:t>Sınıfı:</w:t>
              <w:br/>
            </w:r>
          </w:p>
        </w:tc>
        <w:tc>
          <w:tcPr>
            <w:tcW w:type="dxa" w:w="1587"/>
            <w:vAlign w:val="center"/>
            <w:shd w:val="clear" w:color="auto" w:fill="FAFAFA"/>
          </w:tcPr>
          <w:p>
            <w:pPr>
              <w:jc w:val="left"/>
            </w:pPr>
            <w:r>
              <w:rPr>
                <w:b/>
                <w:color w:val="141414"/>
                <w:sz w:val="18"/>
              </w:rPr>
              <w:t>No:</w:t>
              <w:br/>
            </w:r>
          </w:p>
        </w:tc>
        <w:tc>
          <w:tcPr>
            <w:tcW w:type="dxa" w:w="1701"/>
            <w:vAlign w:val="center"/>
            <w:shd w:val="clear" w:color="auto" w:fill="FAFAFA"/>
          </w:tcPr>
          <w:p>
            <w:pPr>
              <w:jc w:val="left"/>
            </w:pPr>
            <w:r>
              <w:rPr>
                <w:b/>
                <w:color w:val="141414"/>
                <w:sz w:val="18"/>
              </w:rPr>
              <w:t>Puan:</w:t>
              <w:br/>
            </w:r>
          </w:p>
        </w:tc>
      </w:tr>
    </w:tbl>
    <w:p>
      <w:pPr>
        <w:spacing w:before="120" w:after="80"/>
        <w:pBdr>
          <w:left w:val="single" w:sz="12" w:space="4" w:color="228B22"/>
        </w:pBdr>
        <w:shd w:val="clear" w:color="auto" w:fill="F0F0F0"/>
      </w:pPr>
      <w:r>
        <w:rPr>
          <w:rFonts w:ascii="Calibri" w:hAnsi="Calibri"/>
          <w:b/>
          <w:color w:val="3C3C3C"/>
          <w:sz w:val="17"/>
        </w:rPr>
        <w:t>☐ YÖNERGE: Aşağıdaki kutucukları kullanarak soruları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Aşağıdaki kutucuk numaralarını kullanarak soruları cevaplayınız.</w:t>
      </w:r>
      <w:r>
        <w:rPr>
          <w:rFonts w:ascii="Calibri" w:hAnsi="Calibri"/>
          <w:b w:val="0"/>
          <w:i/>
          <w:color w:val="8B0000"/>
          <w:sz w:val="15"/>
        </w:rPr>
        <w:t xml:space="preserve">  [20 puan | SB.5.4.1.]</w:t>
      </w:r>
    </w:p>
    <w:tbl>
      <w:tblPr>
        <w:tblStyle w:val="TableGrid"/>
        <w:tblW w:type="auto" w:w="0"/>
        <w:tblLook w:firstColumn="1" w:firstRow="1" w:lastColumn="0" w:lastRow="0" w:noHBand="0" w:noVBand="1" w:val="04A0"/>
      </w:tblPr>
      <w:tblGrid>
        <w:gridCol w:w="2806"/>
        <w:gridCol w:w="2806"/>
        <w:gridCol w:w="2806"/>
        <w:gridCol w:w="2806"/>
      </w:tblGrid>
      <w:tr>
        <w:tc>
          <w:tcPr>
            <w:tcW w:type="dxa" w:w="2806"/>
            <w:shd w:val="clear" w:color="auto" w:fill="FAFAFA"/>
            <w:vAlign w:val="center"/>
          </w:tcPr>
          <w:p>
            <w:pPr>
              <w:jc w:val="left"/>
              <w:spacing w:before="40" w:after="40"/>
            </w:pPr>
            <w:r>
              <w:t>1) Millî Egemenlik</w:t>
            </w:r>
          </w:p>
        </w:tc>
        <w:tc>
          <w:tcPr>
            <w:tcW w:type="dxa" w:w="2806"/>
            <w:shd w:val="clear" w:color="auto" w:fill="FAFAFA"/>
            <w:vAlign w:val="center"/>
          </w:tcPr>
          <w:p>
            <w:pPr>
              <w:jc w:val="left"/>
              <w:spacing w:before="40" w:after="40"/>
            </w:pPr>
            <w:r>
              <w:t>2) Sosyal Devlet</w:t>
            </w:r>
          </w:p>
        </w:tc>
        <w:tc>
          <w:tcPr>
            <w:tcW w:type="dxa" w:w="2806"/>
            <w:shd w:val="clear" w:color="auto" w:fill="FAFAFA"/>
            <w:vAlign w:val="center"/>
          </w:tcPr>
          <w:p>
            <w:pPr>
              <w:jc w:val="left"/>
              <w:spacing w:before="40" w:after="40"/>
            </w:pPr>
            <w:r>
              <w:t>3) Laik Devlet</w:t>
            </w:r>
          </w:p>
        </w:tc>
        <w:tc>
          <w:tcPr>
            <w:tcW w:type="dxa" w:w="2806"/>
            <w:shd w:val="clear" w:color="auto" w:fill="FAFAFA"/>
            <w:vAlign w:val="center"/>
          </w:tcPr>
          <w:p>
            <w:pPr>
              <w:jc w:val="left"/>
              <w:spacing w:before="40" w:after="40"/>
            </w:pPr>
            <w:r>
              <w:t>4) Çoğulculuk</w:t>
            </w:r>
          </w:p>
        </w:tc>
      </w:tr>
      <w:tr>
        <w:tc>
          <w:tcPr>
            <w:tcW w:type="dxa" w:w="2806"/>
            <w:shd w:val="clear" w:color="auto" w:fill="FAFAFA"/>
            <w:vAlign w:val="center"/>
          </w:tcPr>
          <w:p>
            <w:pPr>
              <w:jc w:val="left"/>
              <w:spacing w:before="40" w:after="40"/>
            </w:pPr>
            <w:r>
              <w:t>5) Hukuk Devleti</w:t>
            </w:r>
          </w:p>
        </w:tc>
        <w:tc>
          <w:tcPr>
            <w:tcW w:type="dxa" w:w="2806"/>
            <w:shd w:val="clear" w:color="auto" w:fill="FAFAFA"/>
            <w:vAlign w:val="center"/>
          </w:tcPr>
          <w:p>
            <w:pPr>
              <w:jc w:val="left"/>
              <w:spacing w:before="40" w:after="40"/>
            </w:pPr>
            <w:r>
              <w:t>6) Katılımcılık</w:t>
            </w:r>
          </w:p>
        </w:tc>
        <w:tc>
          <w:tcPr>
            <w:tcW w:type="dxa" w:w="2806"/>
          </w:tcPr>
          <w:p/>
        </w:tc>
        <w:tc>
          <w:tcPr>
            <w:tcW w:type="dxa" w:w="2806"/>
          </w:tcPr>
          <w:p/>
        </w:tc>
      </w:tr>
    </w:tbl>
    <w:p>
      <w:pPr>
        <w:spacing w:before="40" w:after="40"/>
      </w:pPr>
    </w:p>
    <w:p>
      <w:pPr>
        <w:ind w:left="0"/>
        <w:spacing w:before="0" w:after="40" w:line="240" w:lineRule="auto"/>
      </w:pPr>
      <w:r>
        <w:rPr>
          <w:rFonts w:ascii="Calibri" w:hAnsi="Calibri"/>
          <w:b w:val="0"/>
          <w:i w:val="0"/>
          <w:color w:val="141414"/>
          <w:sz w:val="18"/>
        </w:rPr>
        <w:t>• Din ve devlet işlerinin ayrı olduğu, vicdan özgürlüğünün bulunduğu devlet niteliği hangisidir?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Devletin, vatandaşlarının ekonomik ve toplumsal ihtiyaçlarını karşılamak için çalışmasıdır.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Devleti yönetme yetkisinin bir kişiye değil, millete ait olmasıdır.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Mecliste farklı görüşlerin, farklı siyasi partilerle temsil edilmesine ne denir?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Vatandaşların oy kullanarak veya dilekçe vererek yönetime katkı sağlamasıdır.</w:t>
      </w:r>
    </w:p>
    <w:p>
      <w:pPr>
        <w:ind w:left="0"/>
        <w:spacing w:before="0" w:after="120" w:line="200" w:lineRule="auto"/>
      </w:pPr>
      <w:r>
        <w:rPr>
          <w:rFonts w:ascii="Calibri" w:hAnsi="Calibri"/>
          <w:b w:val="0"/>
          <w:i/>
          <w:color w:val="141414"/>
          <w:sz w:val="18"/>
        </w:rPr>
        <w:t>Cevap Kutusu: ...</w:t>
      </w:r>
    </w:p>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2) </w:t>
      </w:r>
      <w:r>
        <w:rPr>
          <w:rFonts w:ascii="Calibri" w:hAnsi="Calibri"/>
          <w:b/>
          <w:i w:val="0"/>
          <w:color w:val="141414"/>
          <w:sz w:val="18"/>
        </w:rPr>
        <w:t>Ayşe, her sabah okula giderken mahallesindeki parkın içinden geçmektedir. Son zamanlarda parktaki çöp kutularının yetersiz olduğunu ve çöplerin etrafa saçılarak çevre kirliliği oluşturduğunu fark eder. Ayşe bu durumdan çok rahatsız olur.</w:t>
      </w:r>
      <w:r>
        <w:rPr>
          <w:rFonts w:ascii="Calibri" w:hAnsi="Calibri"/>
          <w:b w:val="0"/>
          <w:i/>
          <w:color w:val="8B0000"/>
          <w:sz w:val="15"/>
        </w:rPr>
        <w:t xml:space="preserve">  [20 puan | SB.5.4.2.]</w:t>
      </w:r>
    </w:p>
    <w:p>
      <w:pPr>
        <w:spacing w:before="0" w:after="0" w:line="240" w:lineRule="auto"/>
      </w:pPr>
      <w:r>
        <w:rPr>
          <w:rFonts w:ascii="Calibri" w:hAnsi="Calibri"/>
          <w:b w:val="0"/>
          <w:i w:val="0"/>
          <w:color w:val="141414"/>
          <w:sz w:val="18"/>
        </w:rPr>
        <w:t xml:space="preserve">    Ayşe, bu toplumsal sorunun çözümü için "vatandaşlık okuryazarlığı" becerisini kullanarak nasıl bir yol izleyebilir?</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3) </w:t>
      </w:r>
      <w:r>
        <w:rPr>
          <w:rFonts w:ascii="Calibri" w:hAnsi="Calibri"/>
          <w:b/>
          <w:i w:val="0"/>
          <w:color w:val="141414"/>
          <w:sz w:val="18"/>
        </w:rPr>
        <w:t>Beşinci sınıf öğrencisi Elif, teneffüste arkadaşı Selin’in komik bir fotoğrafını çeker ve Selin’den izin almadan sınıf grubunda paylaşır. Selin bu duruma çok üzülür ve fotoğrafın silinmesini ister.</w:t>
      </w:r>
      <w:r>
        <w:rPr>
          <w:rFonts w:ascii="Calibri" w:hAnsi="Calibri"/>
          <w:b w:val="0"/>
          <w:i/>
          <w:color w:val="8B0000"/>
          <w:sz w:val="15"/>
        </w:rPr>
        <w:t xml:space="preserve">  [15 puan | SB.5.4.3.]</w:t>
      </w:r>
    </w:p>
    <w:p>
      <w:pPr>
        <w:spacing w:before="0" w:after="0" w:line="240" w:lineRule="auto"/>
      </w:pPr>
      <w:r>
        <w:rPr>
          <w:rFonts w:ascii="Calibri" w:hAnsi="Calibri"/>
          <w:b w:val="0"/>
          <w:i w:val="0"/>
          <w:color w:val="141414"/>
          <w:sz w:val="18"/>
        </w:rPr>
        <w:t xml:space="preserve">    Elif, Selin’in hangi temel hakkını ihlal etmiştir ve notlardaki uyarıya göre özgürlüğünü kullanırken neyi unutmuştur?</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4) </w:t>
      </w:r>
      <w:r>
        <w:rPr>
          <w:rFonts w:ascii="Calibri" w:hAnsi="Calibri"/>
          <w:b/>
          <w:i w:val="0"/>
          <w:color w:val="141414"/>
          <w:sz w:val="18"/>
        </w:rPr>
        <w:t>Yaşadığın çevrede sokakların çok kirlendiğini ve çöplerin günlerdir toplanmadığını fark ettin. Bu sorunun çözülmesi için hangi yöneticiye haber vermen gerekir? Nedenini kısaca açıklayınız.</w:t>
      </w:r>
      <w:r>
        <w:rPr>
          <w:rFonts w:ascii="Calibri" w:hAnsi="Calibri"/>
          <w:b w:val="0"/>
          <w:i/>
          <w:color w:val="8B0000"/>
          <w:sz w:val="15"/>
        </w:rPr>
        <w:t xml:space="preserve">  [15 puan | SB.5.4.4.]</w:t>
      </w:r>
    </w:p>
    <w:p>
      <w:pPr>
        <w:spacing w:before="200" w:after="200"/>
      </w:pPr>
    </w:p>
    <w:p>
      <w:pPr>
        <w:spacing w:before="200" w:after="200"/>
      </w:pPr>
    </w:p>
    <w:p>
      <w:pPr>
        <w:spacing w:before="200" w:after="200"/>
      </w:pPr>
    </w:p>
    <w:p>
      <w:pPr>
        <w:spacing w:before="120" w:after="80"/>
        <w:pBdr>
          <w:left w:val="single" w:sz="12" w:space="4" w:color="228B22"/>
        </w:pBdr>
        <w:shd w:val="clear" w:color="auto" w:fill="F0F0F0"/>
      </w:pPr>
      <w:r>
        <w:rPr>
          <w:rFonts w:ascii="Calibri" w:hAnsi="Calibri"/>
          <w:b/>
          <w:color w:val="3C3C3C"/>
          <w:sz w:val="17"/>
        </w:rPr>
        <w:t>▦ YÖNERGE: Aşağıdaki tabloda istenen bilgileri ilgili boşluklara yazınız.</w:t>
      </w:r>
    </w:p>
    <w:p>
      <w:pPr>
        <w:spacing w:before="60" w:after="20" w:line="240" w:lineRule="auto"/>
      </w:pPr>
      <w:r>
        <w:rPr>
          <w:rFonts w:ascii="Calibri" w:hAnsi="Calibri"/>
          <w:b/>
          <w:i w:val="0"/>
          <w:color w:val="141414"/>
          <w:sz w:val="18"/>
        </w:rPr>
        <w:t xml:space="preserve">5) </w:t>
      </w:r>
      <w:r>
        <w:rPr>
          <w:rFonts w:ascii="Calibri" w:hAnsi="Calibri"/>
          <w:b/>
          <w:i w:val="0"/>
          <w:color w:val="141414"/>
          <w:sz w:val="18"/>
        </w:rPr>
        <w:t>Aşağıdaki kaynakların hangi gruba girdiğini "X" koyarak işaretleyiniz.</w:t>
      </w:r>
      <w:r>
        <w:rPr>
          <w:rFonts w:ascii="Calibri" w:hAnsi="Calibri"/>
          <w:b w:val="0"/>
          <w:i/>
          <w:color w:val="8B0000"/>
          <w:sz w:val="15"/>
        </w:rPr>
        <w:t xml:space="preserve">  [15 puan | SB.5.5.1.]</w:t>
      </w:r>
    </w:p>
    <w:p>
      <w:pPr>
        <w:spacing w:before="40" w:after="40"/>
      </w:pPr>
    </w:p>
    <w:tbl>
      <w:tblPr>
        <w:tblStyle w:val="TableGrid"/>
        <w:tblW w:type="auto" w:w="0"/>
        <w:tblLayout w:type="autofit"/>
        <w:tblLook w:firstColumn="1" w:firstRow="1" w:lastColumn="0" w:lastRow="0" w:noHBand="0" w:noVBand="1" w:val="04A0"/>
      </w:tblPr>
      <w:tblGrid>
        <w:gridCol w:w="3742"/>
        <w:gridCol w:w="3742"/>
        <w:gridCol w:w="3742"/>
      </w:tblGrid>
      <w:tr>
        <w:tc>
          <w:tcPr>
            <w:tcW w:type="dxa" w:w="3742"/>
            <w:shd w:val="clear" w:color="auto" w:fill="EAEAEA"/>
            <w:vAlign w:val="center"/>
          </w:tcPr>
          <w:p>
            <w:pPr>
              <w:jc w:val="center"/>
            </w:pPr>
            <w:r>
              <w:rPr>
                <w:b/>
                <w:sz w:val="17"/>
              </w:rPr>
              <w:t>Kaynak Adı</w:t>
            </w:r>
          </w:p>
        </w:tc>
        <w:tc>
          <w:tcPr>
            <w:tcW w:type="dxa" w:w="3742"/>
            <w:shd w:val="clear" w:color="auto" w:fill="EAEAEA"/>
            <w:vAlign w:val="center"/>
          </w:tcPr>
          <w:p>
            <w:pPr>
              <w:jc w:val="center"/>
            </w:pPr>
            <w:r>
              <w:rPr>
                <w:b/>
                <w:sz w:val="17"/>
              </w:rPr>
              <w:t>Yenilenebilir (Tükenmeyen)</w:t>
            </w:r>
          </w:p>
        </w:tc>
        <w:tc>
          <w:tcPr>
            <w:tcW w:type="dxa" w:w="3742"/>
            <w:shd w:val="clear" w:color="auto" w:fill="EAEAEA"/>
            <w:vAlign w:val="center"/>
          </w:tcPr>
          <w:p>
            <w:pPr>
              <w:jc w:val="center"/>
            </w:pPr>
            <w:r>
              <w:rPr>
                <w:b/>
                <w:sz w:val="17"/>
              </w:rPr>
              <w:t>Yenilenemeyen (Tükenen)</w:t>
            </w:r>
          </w:p>
        </w:tc>
      </w:tr>
      <w:tr>
        <w:trPr>
          <w:trHeight w:val="680"/>
        </w:trPr>
        <w:tc>
          <w:tcPr>
            <w:tcW w:type="dxa" w:w="3742"/>
            <w:vAlign w:val="center"/>
            <w:shd w:val="clear" w:color="auto" w:fill="FAFAFA"/>
          </w:tcPr>
          <w:p>
            <w:r>
              <w:rPr>
                <w:sz w:val="17"/>
              </w:rPr>
              <w:t>Güneş</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Kömür</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Rüzgâr</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Doğal Gaz</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Toprak</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Madenler</w:t>
            </w:r>
          </w:p>
        </w:tc>
        <w:tc>
          <w:tcPr>
            <w:tcW w:type="dxa" w:w="3742"/>
            <w:vAlign w:val="center"/>
          </w:tcPr>
          <w:p>
            <w:r/>
          </w:p>
        </w:tc>
        <w:tc>
          <w:tcPr>
            <w:tcW w:type="dxa" w:w="3742"/>
            <w:vAlign w:val="center"/>
          </w:tcPr>
          <w:p>
            <w:r/>
          </w:p>
        </w:tc>
      </w:tr>
    </w:tbl>
    <w:p>
      <w:pPr>
        <w:spacing w:before="40" w:after="80"/>
      </w:pPr>
    </w:p>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6) </w:t>
      </w:r>
      <w:r>
        <w:rPr>
          <w:rFonts w:ascii="Calibri" w:hAnsi="Calibri"/>
          <w:b/>
          <w:i w:val="0"/>
          <w:color w:val="141414"/>
          <w:sz w:val="18"/>
        </w:rPr>
        <w:t>Bir aile aylık 10.000 TL gelir elde etmesine rağmen her ay 12.000 TL harcama yapıyor ve sürekli borçlanıyor. Bu ailenin bütçe planlamasındaki temel hatasını kaynaklardaki bilgilere göre tespit ediniz ve bu durumu en iyi özetleyen atasözünü yazınız.</w:t>
      </w:r>
      <w:r>
        <w:rPr>
          <w:rFonts w:ascii="Calibri" w:hAnsi="Calibri"/>
          <w:b w:val="0"/>
          <w:i/>
          <w:color w:val="8B0000"/>
          <w:sz w:val="15"/>
        </w:rPr>
        <w:t xml:space="preserve">  [15 puan | SB.5.5.2.]</w:t>
      </w:r>
    </w:p>
    <w:p>
      <w:pPr>
        <w:spacing w:before="200" w:after="200"/>
      </w:pPr>
    </w:p>
    <w:p>
      <w:pPr>
        <w:spacing w:before="200" w:after="200"/>
      </w:pPr>
    </w:p>
    <w:p>
      <w:pPr>
        <w:spacing w:before="200" w:after="200"/>
      </w:pPr>
    </w:p>
    <w:p/>
    <w:tbl>
      <w:tblPr>
        <w:tblW w:type="auto" w:w="0"/>
        <w:tblLook w:firstColumn="1" w:firstRow="1" w:lastColumn="0" w:lastRow="0" w:noHBand="0" w:noVBand="1" w:val="04A0"/>
        <w:tblBorders>
          <w:top w:val="none"/>
          <w:left w:val="none"/>
          <w:bottom w:val="none"/>
          <w:right w:val="none"/>
          <w:insideH w:val="none"/>
          <w:insideV w:val="none"/>
        </w:tblBorders>
      </w:tblPr>
      <w:tblGrid>
        <w:gridCol w:w="5613"/>
        <w:gridCol w:w="5613"/>
      </w:tblGrid>
      <w:tr>
        <w:tc>
          <w:tcPr>
            <w:tcW w:type="dxa" w:w="9"/>
          </w:tcPr>
          <w:p/>
          <w:p>
            <w:r>
              <w:rPr>
                <w:rFonts w:ascii="Calibri" w:hAnsi="Calibri"/>
                <w:b/>
                <w:i w:val="0"/>
                <w:color w:val="3C3C3C"/>
              </w:rPr>
              <w:t>Sınav süresi 1 ders saatidir (40 Dakika).</w:t>
              <w:br/>
              <w:t>Başarılar Dilerim.</w:t>
            </w:r>
          </w:p>
        </w:tc>
        <w:tc>
          <w:tcPr>
            <w:tcW w:type="dxa" w:w="8"/>
          </w:tcPr>
          <w:p/>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2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r>
        <w:br/>
      </w:r>
      <w:r>
        <w:rPr>
          <w:rFonts w:ascii="Calibri" w:hAnsi="Calibri"/>
          <w:b w:val="0"/>
          <w:i w:val="0"/>
          <w:color w:val="969696"/>
          <w:sz w:val="15"/>
        </w:rPr>
        <w:t xml:space="preserve">Bu sınav </w:t>
      </w:r>
      <w:r>
        <w:rPr>
          <w:rFonts w:ascii="Calibri" w:hAnsi="Calibri"/>
          <w:b/>
          <w:i w:val="0"/>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