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spacing w:before="0" w:after="60"/>
      </w:pPr>
      <w:r>
        <w:rPr>
          <w:rFonts w:ascii="Calibri" w:hAnsi="Calibri"/>
          <w:b/>
          <w:i w:val="0"/>
          <w:color w:val="228B22"/>
          <w:sz w:val="22"/>
        </w:rPr>
        <w:t>2025-2026 EĞİTİM ÖĞRETİM YILI  MERYEM-MEHMET KAPLAN KIZ ANADOLU İMAM HATİP LİSESİ</w:t>
        <w:br/>
        <w:t>SOSYAL BİLGİLER DERSİ  1. DÖNEM   1. YAZILI SINAVI  –  CEVAP ANAHTARI</w:t>
      </w:r>
    </w:p>
    <w:p>
      <w:pPr>
        <w:spacing w:before="80" w:after="40"/>
        <w:pBdr>
          <w:left w:val="single" w:sz="12" w:space="4" w:color="228B22"/>
        </w:pBdr>
        <w:shd w:val="clear" w:color="auto" w:fill="F0F0F0"/>
      </w:pPr>
      <w:r>
        <w:rPr>
          <w:rFonts w:ascii="Calibri" w:hAnsi="Calibri"/>
          <w:b/>
          <w:color w:val="3C3C3C"/>
          <w:sz w:val="17"/>
        </w:rPr>
        <w:t>✍ Soruyu cevaplayınız.</w:t>
      </w:r>
    </w:p>
    <w:p>
      <w:pPr>
        <w:spacing w:before="60" w:after="20" w:line="240" w:lineRule="auto"/>
      </w:pPr>
      <w:r>
        <w:rPr>
          <w:rFonts w:ascii="Calibri" w:hAnsi="Calibri"/>
          <w:b/>
          <w:i w:val="0"/>
          <w:color w:val="141414"/>
          <w:sz w:val="18"/>
        </w:rPr>
        <w:t xml:space="preserve">1) </w:t>
      </w:r>
      <w:r>
        <w:rPr>
          <w:rFonts w:ascii="Calibri" w:hAnsi="Calibri"/>
          <w:b/>
          <w:i w:val="0"/>
          <w:color w:val="141414"/>
          <w:sz w:val="18"/>
        </w:rPr>
        <w:t>Ayşe, her sabah okula giderken mahallesindeki parkın içinden geçmektedir. Son zamanlarda parktaki çöp kutularının yetersiz olduğunu ve çöplerin etrafa saçılarak çevre kirliliği oluşturduğunu fark eder. Ayşe bu durumdan çok rahatsız olur.</w:t>
      </w:r>
      <w:r>
        <w:rPr>
          <w:rFonts w:ascii="Calibri" w:hAnsi="Calibri"/>
          <w:b w:val="0"/>
          <w:i/>
          <w:color w:val="8B0000"/>
          <w:sz w:val="15"/>
        </w:rPr>
        <w:t xml:space="preserve">  [10 Puan | SB.5.4.2.]</w:t>
      </w:r>
    </w:p>
    <w:p>
      <w:pPr>
        <w:spacing w:before="0" w:after="0" w:line="240" w:lineRule="auto"/>
      </w:pPr>
      <w:r>
        <w:rPr>
          <w:rFonts w:ascii="Calibri" w:hAnsi="Calibri"/>
          <w:b w:val="0"/>
          <w:i w:val="0"/>
          <w:color w:val="141414"/>
          <w:sz w:val="18"/>
        </w:rPr>
        <w:t xml:space="preserve">    Ayşe, bu toplumsal sorunun çözümü için "vatandaşlık okuryazarlığı" becerisini kullanarak nasıl bir yol izleyebilir?</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Ayşe, bu soruna kayıtsız kalmayarak etkin bir vatandaş gibi davranmalıdır. Sorunun çözümü için belediyeye bir dilekçe yazabilir veya ailesinin yardımıyla CİMER üzerinden yetkililere başvurabilir. Ayrıca çevresindeki arkadaşlarıyla bir araya gelerek geri dönüşüm ve temiz çevre konusunda farkındalık yaratacak çalışmalar yapabilir. Bu davranış, onun toplumsal meselelere duyarlı ve katılımcı biri olduğunu gösterir.</w:t>
      </w:r>
    </w:p>
    <w:p>
      <w:pPr>
        <w:spacing w:before="80" w:after="40"/>
        <w:pBdr>
          <w:left w:val="single" w:sz="12" w:space="4" w:color="228B22"/>
        </w:pBdr>
        <w:shd w:val="clear" w:color="auto" w:fill="F0F0F0"/>
      </w:pPr>
      <w:r>
        <w:rPr>
          <w:rFonts w:ascii="Calibri" w:hAnsi="Calibri"/>
          <w:b/>
          <w:color w:val="3C3C3C"/>
          <w:sz w:val="17"/>
        </w:rPr>
        <w:t>⇄ Kavramları eşleştiriniz.</w:t>
      </w:r>
    </w:p>
    <w:p>
      <w:pPr>
        <w:spacing w:before="60" w:after="20" w:line="240" w:lineRule="auto"/>
      </w:pPr>
      <w:r>
        <w:rPr>
          <w:rFonts w:ascii="Calibri" w:hAnsi="Calibri"/>
          <w:b/>
          <w:i w:val="0"/>
          <w:color w:val="141414"/>
          <w:sz w:val="18"/>
        </w:rPr>
        <w:t xml:space="preserve">2) </w:t>
      </w:r>
      <w:r>
        <w:rPr>
          <w:rFonts w:ascii="Calibri" w:hAnsi="Calibri"/>
          <w:b/>
          <w:i w:val="0"/>
          <w:color w:val="141414"/>
          <w:sz w:val="18"/>
        </w:rPr>
        <w:t>Aşağıdaki eylemlerin hangi kavramla ilgili olduklarını (Hak, Sorumluluk ve Özgürlük) eşleştiriniz.</w:t>
      </w:r>
      <w:r>
        <w:rPr>
          <w:rFonts w:ascii="Calibri" w:hAnsi="Calibri"/>
          <w:b w:val="0"/>
          <w:i/>
          <w:color w:val="8B0000"/>
          <w:sz w:val="15"/>
        </w:rPr>
        <w:t xml:space="preserve">  [20 Puan | SB.5.4.3.]</w:t>
      </w:r>
    </w:p>
    <w:tbl>
      <w:tblPr>
        <w:tblStyle w:val="TableGrid"/>
        <w:tblW w:type="auto" w:w="0"/>
        <w:tblLook w:firstColumn="1" w:firstRow="1" w:lastColumn="0" w:lastRow="0" w:noHBand="0" w:noVBand="1" w:val="04A0"/>
      </w:tblPr>
      <w:tblGrid>
        <w:gridCol w:w="5613"/>
        <w:gridCol w:w="5613"/>
      </w:tblGrid>
      <w:tr>
        <w:tc>
          <w:tcPr>
            <w:tcW w:type="dxa" w:w="2268"/>
            <w:shd w:val="clear" w:color="auto" w:fill="FFFFFF"/>
            <w:vAlign w:val="center"/>
          </w:tcPr>
          <w:p>
            <w:pPr>
              <w:spacing w:before="40" w:after="40"/>
            </w:pPr>
            <w:r>
              <w:t>Hastalandığımızda doktora gitmek</w:t>
            </w:r>
          </w:p>
        </w:tc>
        <w:tc>
          <w:tcPr>
            <w:tcW w:type="dxa" w:w="2268"/>
            <w:shd w:val="clear" w:color="auto" w:fill="FFFFFF"/>
            <w:vAlign w:val="center"/>
          </w:tcPr>
          <w:p>
            <w:pPr>
              <w:spacing w:before="40" w:after="40"/>
            </w:pPr>
            <w:r>
              <w:t>1) Hak</w:t>
            </w:r>
          </w:p>
        </w:tc>
      </w:tr>
      <w:tr>
        <w:tc>
          <w:tcPr>
            <w:tcW w:type="dxa" w:w="2268"/>
            <w:shd w:val="clear" w:color="auto" w:fill="F2F2F2"/>
            <w:vAlign w:val="center"/>
          </w:tcPr>
          <w:p>
            <w:pPr>
              <w:spacing w:before="40" w:after="40"/>
            </w:pPr>
            <w:r>
              <w:t>Okul kurallarına uygun davranmak</w:t>
            </w:r>
          </w:p>
        </w:tc>
        <w:tc>
          <w:tcPr>
            <w:tcW w:type="dxa" w:w="2268"/>
            <w:shd w:val="clear" w:color="auto" w:fill="F2F2F2"/>
            <w:vAlign w:val="center"/>
          </w:tcPr>
          <w:p>
            <w:pPr>
              <w:spacing w:before="40" w:after="40"/>
            </w:pPr>
            <w:r>
              <w:t>2) Sorumluluk</w:t>
            </w:r>
          </w:p>
        </w:tc>
      </w:tr>
      <w:tr>
        <w:tc>
          <w:tcPr>
            <w:tcW w:type="dxa" w:w="2268"/>
            <w:shd w:val="clear" w:color="auto" w:fill="FFFFFF"/>
            <w:vAlign w:val="center"/>
          </w:tcPr>
          <w:p>
            <w:pPr>
              <w:spacing w:before="40" w:after="40"/>
            </w:pPr>
            <w:r>
              <w:t>Odamızı toplamak</w:t>
            </w:r>
          </w:p>
        </w:tc>
        <w:tc>
          <w:tcPr>
            <w:tcW w:type="dxa" w:w="2268"/>
            <w:shd w:val="clear" w:color="auto" w:fill="FFFFFF"/>
            <w:vAlign w:val="center"/>
          </w:tcPr>
          <w:p>
            <w:pPr>
              <w:spacing w:before="40" w:after="40"/>
            </w:pPr>
            <w:r>
              <w:t>3) Sorumluluk</w:t>
            </w:r>
          </w:p>
        </w:tc>
      </w:tr>
      <w:tr>
        <w:tc>
          <w:tcPr>
            <w:tcW w:type="dxa" w:w="2268"/>
            <w:shd w:val="clear" w:color="auto" w:fill="F2F2F2"/>
            <w:vAlign w:val="center"/>
          </w:tcPr>
          <w:p>
            <w:pPr>
              <w:spacing w:before="40" w:after="40"/>
            </w:pPr>
            <w:r>
              <w:t>Teneffüse çıkmak</w:t>
            </w:r>
          </w:p>
        </w:tc>
        <w:tc>
          <w:tcPr>
            <w:tcW w:type="dxa" w:w="2268"/>
            <w:shd w:val="clear" w:color="auto" w:fill="F2F2F2"/>
            <w:vAlign w:val="center"/>
          </w:tcPr>
          <w:p>
            <w:pPr>
              <w:spacing w:before="40" w:after="40"/>
            </w:pPr>
            <w:r>
              <w:t>4) Hak</w:t>
            </w:r>
          </w:p>
        </w:tc>
      </w:tr>
      <w:tr>
        <w:tc>
          <w:tcPr>
            <w:tcW w:type="dxa" w:w="2268"/>
            <w:shd w:val="clear" w:color="auto" w:fill="FFFFFF"/>
            <w:vAlign w:val="center"/>
          </w:tcPr>
          <w:p>
            <w:pPr>
              <w:spacing w:before="40" w:after="40"/>
            </w:pPr>
            <w:r>
              <w:t>Fikirlerimizi serbestçe söylemek</w:t>
            </w:r>
          </w:p>
        </w:tc>
        <w:tc>
          <w:tcPr>
            <w:tcW w:type="dxa" w:w="2268"/>
            <w:shd w:val="clear" w:color="auto" w:fill="FFFFFF"/>
            <w:vAlign w:val="center"/>
          </w:tcPr>
          <w:p>
            <w:pPr>
              <w:spacing w:before="40" w:after="40"/>
            </w:pPr>
            <w:r>
              <w:t>5) Özgürlük</w:t>
            </w:r>
          </w:p>
        </w:tc>
      </w:tr>
    </w:tbl>
    <w:p>
      <w:pPr>
        <w:spacing w:before="40" w:after="80" w:line="240" w:lineRule="auto"/>
      </w:pPr>
      <w:r>
        <w:rPr>
          <w:rFonts w:ascii="Calibri" w:hAnsi="Calibri"/>
          <w:b/>
          <w:i w:val="0"/>
          <w:color w:val="008000"/>
          <w:sz w:val="18"/>
        </w:rPr>
        <w:t>[ CEVAP ]</w:t>
        <w:br/>
      </w:r>
      <w:r>
        <w:rPr>
          <w:rFonts w:ascii="Calibri" w:hAnsi="Calibri"/>
          <w:b w:val="0"/>
          <w:i w:val="0"/>
          <w:color w:val="008000"/>
          <w:sz w:val="18"/>
        </w:rPr>
        <w:t xml:space="preserve">  • Hastalandığımızda doktora gitmek → Hak</w:t>
      </w:r>
      <w:r>
        <w:br/>
      </w:r>
      <w:r>
        <w:rPr>
          <w:rFonts w:ascii="Calibri" w:hAnsi="Calibri"/>
          <w:b w:val="0"/>
          <w:i w:val="0"/>
          <w:color w:val="008000"/>
          <w:sz w:val="18"/>
        </w:rPr>
        <w:t xml:space="preserve">  • Okul kurallarına uygun davranmak → Sorumluluk</w:t>
      </w:r>
      <w:r>
        <w:br/>
      </w:r>
      <w:r>
        <w:rPr>
          <w:rFonts w:ascii="Calibri" w:hAnsi="Calibri"/>
          <w:b w:val="0"/>
          <w:i w:val="0"/>
          <w:color w:val="008000"/>
          <w:sz w:val="18"/>
        </w:rPr>
        <w:t xml:space="preserve">  • Odamızı toplamak → Sorumluluk</w:t>
      </w:r>
      <w:r>
        <w:br/>
      </w:r>
      <w:r>
        <w:rPr>
          <w:rFonts w:ascii="Calibri" w:hAnsi="Calibri"/>
          <w:b w:val="0"/>
          <w:i w:val="0"/>
          <w:color w:val="008000"/>
          <w:sz w:val="18"/>
        </w:rPr>
        <w:t xml:space="preserve">  • Teneffüse çıkmak → Hak</w:t>
      </w:r>
      <w:r>
        <w:br/>
      </w:r>
      <w:r>
        <w:rPr>
          <w:rFonts w:ascii="Calibri" w:hAnsi="Calibri"/>
          <w:b w:val="0"/>
          <w:i w:val="0"/>
          <w:color w:val="008000"/>
          <w:sz w:val="18"/>
        </w:rPr>
        <w:t xml:space="preserve">  • Fikirlerimizi serbestçe söylemek → Özgürlük</w:t>
      </w:r>
    </w:p>
    <w:p>
      <w:pPr>
        <w:spacing w:before="80" w:after="40"/>
        <w:pBdr>
          <w:left w:val="single" w:sz="12" w:space="4" w:color="228B22"/>
        </w:pBdr>
        <w:shd w:val="clear" w:color="auto" w:fill="F0F0F0"/>
      </w:pPr>
      <w:r>
        <w:rPr>
          <w:rFonts w:ascii="Calibri" w:hAnsi="Calibri"/>
          <w:b/>
          <w:color w:val="3C3C3C"/>
          <w:sz w:val="17"/>
        </w:rPr>
        <w:t>✍ Soruyu cevaplayınız.</w:t>
      </w:r>
    </w:p>
    <w:p>
      <w:pPr>
        <w:spacing w:before="60" w:after="20" w:line="240" w:lineRule="auto"/>
      </w:pPr>
      <w:r>
        <w:rPr>
          <w:rFonts w:ascii="Calibri" w:hAnsi="Calibri"/>
          <w:b/>
          <w:i w:val="0"/>
          <w:color w:val="141414"/>
          <w:sz w:val="18"/>
        </w:rPr>
        <w:t xml:space="preserve">3) </w:t>
      </w:r>
      <w:r>
        <w:rPr>
          <w:rFonts w:ascii="Calibri" w:hAnsi="Calibri"/>
          <w:b/>
          <w:i w:val="0"/>
          <w:color w:val="141414"/>
          <w:sz w:val="18"/>
        </w:rPr>
        <w:t>Bir mahallede yeni doğan bir bebeğin kaydı veya okula başlayacak çocukların tespiti gibi konularda hangi yönetici yetkilidir? Bu yönetici nasıl göreve gelir?</w:t>
      </w:r>
      <w:r>
        <w:rPr>
          <w:rFonts w:ascii="Calibri" w:hAnsi="Calibri"/>
          <w:b w:val="0"/>
          <w:i/>
          <w:color w:val="8B0000"/>
          <w:sz w:val="15"/>
        </w:rPr>
        <w:t xml:space="preserve">  [20 Puan | SB.5.4.4.]</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Bu işlemlerden Muhtar (Mahalle Sorumlusu) yetkilidir. Muhtar, halk tarafından seçilerek (seçimle) göreve gelir.</w:t>
      </w:r>
    </w:p>
    <w:p>
      <w:pPr>
        <w:spacing w:before="80" w:after="40"/>
        <w:pBdr>
          <w:left w:val="single" w:sz="12" w:space="4" w:color="228B22"/>
        </w:pBdr>
        <w:shd w:val="clear" w:color="auto" w:fill="F0F0F0"/>
      </w:pPr>
      <w:r>
        <w:rPr>
          <w:rFonts w:ascii="Calibri" w:hAnsi="Calibri"/>
          <w:b/>
          <w:color w:val="3C3C3C"/>
          <w:sz w:val="17"/>
        </w:rPr>
        <w:t>☐ Kutucukları kullanarak cevaplayınız.</w:t>
      </w:r>
    </w:p>
    <w:p>
      <w:pPr>
        <w:spacing w:before="60" w:after="20" w:line="240" w:lineRule="auto"/>
      </w:pPr>
      <w:r>
        <w:rPr>
          <w:rFonts w:ascii="Calibri" w:hAnsi="Calibri"/>
          <w:b/>
          <w:i w:val="0"/>
          <w:color w:val="141414"/>
          <w:sz w:val="18"/>
        </w:rPr>
        <w:t xml:space="preserve">4) </w:t>
      </w:r>
      <w:r>
        <w:rPr>
          <w:rFonts w:ascii="Calibri" w:hAnsi="Calibri"/>
          <w:b/>
          <w:i w:val="0"/>
          <w:color w:val="141414"/>
          <w:sz w:val="18"/>
        </w:rPr>
        <w:t>Kutucuklarda doğal kaynaklar, enerji türleri ve tasarruf kavramları numaralandırılmıştır. Soruların cevaplarını kutucuk numaralarını kullanarak veriniz.</w:t>
      </w:r>
      <w:r>
        <w:rPr>
          <w:rFonts w:ascii="Calibri" w:hAnsi="Calibri"/>
          <w:b w:val="0"/>
          <w:i/>
          <w:color w:val="8B0000"/>
          <w:sz w:val="15"/>
        </w:rPr>
        <w:t xml:space="preserve">  [30 Puan | SB.5.5.1.]</w:t>
      </w:r>
    </w:p>
    <w:tbl>
      <w:tblPr>
        <w:tblStyle w:val="TableGrid"/>
        <w:tblW w:type="auto" w:w="0"/>
        <w:tblLook w:firstColumn="1" w:firstRow="1" w:lastColumn="0" w:lastRow="0" w:noHBand="0" w:noVBand="1" w:val="04A0"/>
      </w:tblPr>
      <w:tblGrid>
        <w:gridCol w:w="2806"/>
        <w:gridCol w:w="2806"/>
        <w:gridCol w:w="2806"/>
        <w:gridCol w:w="2806"/>
      </w:tblGrid>
      <w:tr>
        <w:tc>
          <w:tcPr>
            <w:tcW w:type="dxa" w:w="2806"/>
            <w:shd w:val="clear" w:color="auto" w:fill="FAFAFA"/>
            <w:vAlign w:val="center"/>
          </w:tcPr>
          <w:p>
            <w:pPr>
              <w:jc w:val="left"/>
              <w:spacing w:before="20" w:after="20"/>
            </w:pPr>
            <w:r>
              <w:t>1. Güneş</w:t>
            </w:r>
          </w:p>
        </w:tc>
        <w:tc>
          <w:tcPr>
            <w:tcW w:type="dxa" w:w="2806"/>
            <w:shd w:val="clear" w:color="auto" w:fill="FAFAFA"/>
            <w:vAlign w:val="center"/>
          </w:tcPr>
          <w:p>
            <w:pPr>
              <w:jc w:val="left"/>
              <w:spacing w:before="20" w:after="20"/>
            </w:pPr>
            <w:r>
              <w:t>2. Kömür</w:t>
            </w:r>
          </w:p>
        </w:tc>
        <w:tc>
          <w:tcPr>
            <w:tcW w:type="dxa" w:w="2806"/>
            <w:shd w:val="clear" w:color="auto" w:fill="FAFAFA"/>
            <w:vAlign w:val="center"/>
          </w:tcPr>
          <w:p>
            <w:pPr>
              <w:jc w:val="left"/>
              <w:spacing w:before="20" w:after="20"/>
            </w:pPr>
            <w:r>
              <w:t>3. Bor Madeni</w:t>
            </w:r>
          </w:p>
        </w:tc>
        <w:tc>
          <w:tcPr>
            <w:tcW w:type="dxa" w:w="2806"/>
            <w:shd w:val="clear" w:color="auto" w:fill="FAFAFA"/>
            <w:vAlign w:val="center"/>
          </w:tcPr>
          <w:p>
            <w:pPr>
              <w:jc w:val="left"/>
              <w:spacing w:before="20" w:after="20"/>
            </w:pPr>
            <w:r>
              <w:t>4. Rüzgâr</w:t>
            </w:r>
          </w:p>
        </w:tc>
      </w:tr>
      <w:tr>
        <w:tc>
          <w:tcPr>
            <w:tcW w:type="dxa" w:w="2806"/>
            <w:shd w:val="clear" w:color="auto" w:fill="FAFAFA"/>
            <w:vAlign w:val="center"/>
          </w:tcPr>
          <w:p>
            <w:pPr>
              <w:jc w:val="left"/>
              <w:spacing w:before="20" w:after="20"/>
            </w:pPr>
            <w:r>
              <w:t>5. Petrol</w:t>
            </w:r>
          </w:p>
        </w:tc>
        <w:tc>
          <w:tcPr>
            <w:tcW w:type="dxa" w:w="2806"/>
            <w:shd w:val="clear" w:color="auto" w:fill="FAFAFA"/>
            <w:vAlign w:val="center"/>
          </w:tcPr>
          <w:p>
            <w:pPr>
              <w:jc w:val="left"/>
              <w:spacing w:before="20" w:after="20"/>
            </w:pPr>
            <w:r>
              <w:t>6. Ormanlar</w:t>
            </w:r>
          </w:p>
        </w:tc>
        <w:tc>
          <w:tcPr>
            <w:tcW w:type="dxa" w:w="2806"/>
            <w:shd w:val="clear" w:color="auto" w:fill="FAFAFA"/>
            <w:vAlign w:val="center"/>
          </w:tcPr>
          <w:p>
            <w:pPr>
              <w:jc w:val="left"/>
              <w:spacing w:before="20" w:after="20"/>
            </w:pPr>
            <w:r>
              <w:t>7. Doğal Gaz</w:t>
            </w:r>
          </w:p>
        </w:tc>
        <w:tc>
          <w:tcPr>
            <w:tcW w:type="dxa" w:w="2806"/>
            <w:shd w:val="clear" w:color="auto" w:fill="FAFAFA"/>
            <w:vAlign w:val="center"/>
          </w:tcPr>
          <w:p>
            <w:pPr>
              <w:jc w:val="left"/>
              <w:spacing w:before="20" w:after="20"/>
            </w:pPr>
            <w:r>
              <w:t>8. Su</w:t>
            </w:r>
          </w:p>
        </w:tc>
      </w:tr>
      <w:tr>
        <w:tc>
          <w:tcPr>
            <w:tcW w:type="dxa" w:w="2806"/>
            <w:shd w:val="clear" w:color="auto" w:fill="FAFAFA"/>
            <w:vAlign w:val="center"/>
          </w:tcPr>
          <w:p>
            <w:pPr>
              <w:jc w:val="left"/>
              <w:spacing w:before="20" w:after="20"/>
            </w:pPr>
            <w:r>
              <w:t>9. 5D Modeli</w:t>
            </w:r>
          </w:p>
        </w:tc>
        <w:tc>
          <w:tcPr>
            <w:tcW w:type="dxa" w:w="2806"/>
          </w:tcPr>
          <w:p/>
        </w:tc>
        <w:tc>
          <w:tcPr>
            <w:tcW w:type="dxa" w:w="2806"/>
          </w:tcPr>
          <w:p/>
        </w:tc>
        <w:tc>
          <w:tcPr>
            <w:tcW w:type="dxa" w:w="2806"/>
          </w:tcPr>
          <w:p/>
        </w:tc>
      </w:tr>
    </w:tbl>
    <w:p>
      <w:pPr>
        <w:spacing w:before="40" w:after="80" w:line="240" w:lineRule="auto"/>
      </w:pPr>
      <w:r>
        <w:rPr>
          <w:rFonts w:ascii="Calibri" w:hAnsi="Calibri"/>
          <w:b/>
          <w:i w:val="0"/>
          <w:color w:val="008000"/>
          <w:sz w:val="18"/>
        </w:rPr>
        <w:t>[ CEVAPLAR ]</w:t>
        <w:br/>
      </w:r>
      <w:r>
        <w:rPr>
          <w:rFonts w:ascii="Calibri" w:hAnsi="Calibri"/>
          <w:b w:val="0"/>
          <w:i w:val="0"/>
          <w:color w:val="008000"/>
          <w:sz w:val="18"/>
        </w:rPr>
        <w:t xml:space="preserve">  • Yukarıdakilerden hangileri "Yenilenebilir (Tükenmeyen)" kaynaklar arasında yer alır? → Cevaplar: 1, 4, 6, 8</w:t>
      </w:r>
      <w:r>
        <w:br/>
      </w:r>
      <w:r>
        <w:rPr>
          <w:rFonts w:ascii="Calibri" w:hAnsi="Calibri"/>
          <w:b w:val="0"/>
          <w:i w:val="0"/>
          <w:color w:val="008000"/>
          <w:sz w:val="18"/>
        </w:rPr>
        <w:t xml:space="preserve">  • Yukarıdakilerden hangileri "Yenilenemeyen (Tükenen)" kaynaklar grubundadır? → Cevaplar: 2, 3, 5, 7</w:t>
      </w:r>
      <w:r>
        <w:br/>
      </w:r>
      <w:r>
        <w:rPr>
          <w:rFonts w:ascii="Calibri" w:hAnsi="Calibri"/>
          <w:b w:val="0"/>
          <w:i w:val="0"/>
          <w:color w:val="008000"/>
          <w:sz w:val="18"/>
        </w:rPr>
        <w:t xml:space="preserve">  • Ülkemizde roket yakıtı, sabun, deterjan ve ısıya dayanıklı cam yapımında kullanılan maden hangisidir? → Cevaplar: 3</w:t>
      </w:r>
      <w:r>
        <w:br/>
      </w:r>
      <w:r>
        <w:rPr>
          <w:rFonts w:ascii="Calibri" w:hAnsi="Calibri"/>
          <w:b w:val="0"/>
          <w:i w:val="0"/>
          <w:color w:val="008000"/>
          <w:sz w:val="18"/>
        </w:rPr>
        <w:t xml:space="preserve">  • Akarsular üzerine kurulan barajlar sayesinde elde edilen "hidroelektrik enerjisinin" temel kaynağı hangisidir? → Cevaplar: 8</w:t>
      </w:r>
      <w:r>
        <w:br/>
      </w:r>
      <w:r>
        <w:rPr>
          <w:rFonts w:ascii="Calibri" w:hAnsi="Calibri"/>
          <w:b w:val="0"/>
          <w:i w:val="0"/>
          <w:color w:val="008000"/>
          <w:sz w:val="18"/>
        </w:rPr>
        <w:t xml:space="preserve">  • "Düşün, Daha Az Tüket, Değerlendir, Değiştir, Dönüştür" basamaklarından oluşan israfı önleme yöntemi hangisidir? → Cevaplar: 9</w:t>
      </w:r>
      <w:r>
        <w:br/>
      </w:r>
      <w:r>
        <w:rPr>
          <w:rFonts w:ascii="Calibri" w:hAnsi="Calibri"/>
          <w:b w:val="0"/>
          <w:i w:val="0"/>
          <w:color w:val="008000"/>
          <w:sz w:val="18"/>
        </w:rPr>
        <w:t xml:space="preserve">  • Hangileri fosil yakıttır ve sera gazını artırdığı için kullanımı azaltılmalıdır? → Cevaplar: 2, 5, 7</w:t>
      </w:r>
    </w:p>
    <w:p>
      <w:pPr>
        <w:spacing w:before="80" w:after="40"/>
        <w:pBdr>
          <w:left w:val="single" w:sz="12" w:space="4" w:color="228B22"/>
        </w:pBdr>
        <w:shd w:val="clear" w:color="auto" w:fill="F0F0F0"/>
      </w:pPr>
      <w:r>
        <w:rPr>
          <w:rFonts w:ascii="Calibri" w:hAnsi="Calibri"/>
          <w:b/>
          <w:color w:val="3C3C3C"/>
          <w:sz w:val="17"/>
        </w:rPr>
        <w:t>✍ Soruyu cevaplayınız.</w:t>
      </w:r>
    </w:p>
    <w:p>
      <w:pPr>
        <w:spacing w:before="60" w:after="20" w:line="240" w:lineRule="auto"/>
      </w:pPr>
      <w:r>
        <w:rPr>
          <w:rFonts w:ascii="Calibri" w:hAnsi="Calibri"/>
          <w:b/>
          <w:i w:val="0"/>
          <w:color w:val="141414"/>
          <w:sz w:val="18"/>
        </w:rPr>
        <w:t xml:space="preserve">5) </w:t>
      </w:r>
      <w:r>
        <w:rPr>
          <w:rFonts w:ascii="Calibri" w:hAnsi="Calibri"/>
          <w:b/>
          <w:i w:val="0"/>
          <w:color w:val="141414"/>
          <w:sz w:val="18"/>
        </w:rPr>
        <w:t>Mert, yaz tatilinde bir bisiklet almak istiyor ve her hafta harçlığının bir kısmını kumbarasına atıyor. Etrafımızda büyüklerimizden duyduğumuz "Birikim yapın" tavsiyesinin Mert’e sadece bisiklet alırken değil başına gelebilecek beklenmedik bir durumda nasıl bir faydası olabilir?</w:t>
      </w:r>
      <w:r>
        <w:rPr>
          <w:rFonts w:ascii="Calibri" w:hAnsi="Calibri"/>
          <w:b w:val="0"/>
          <w:i/>
          <w:color w:val="8B0000"/>
          <w:sz w:val="15"/>
        </w:rPr>
        <w:t xml:space="preserve">  [20 Puan | SB.5.5.2.]</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Mert birikim yaparak "beklenmedik durumlara karşı hazırlıklı olma" becerisi kazanır. Örneğin, okulu için aniden bir kitap alması gerekirse veya bir eşyası kaybolursa kumbarasındaki para sayesinde kimseden borç almadan bu sorunu çözebilir ve ailesine yük olmaz.</w:t>
      </w:r>
    </w:p>
    <w:p/>
    <w:tbl>
      <w:tblPr>
        <w:tblW w:type="auto" w:w="0"/>
        <w:tblLook w:firstColumn="1" w:firstRow="1" w:lastColumn="0" w:lastRow="0" w:noHBand="0" w:noVBand="1" w:val="04A0"/>
        <w:tblBorders>
          <w:top w:val="none"/>
          <w:left w:val="none"/>
          <w:bottom w:val="none"/>
          <w:right w:val="none"/>
          <w:insideH w:val="none"/>
          <w:insideV w:val="none"/>
        </w:tblBorders>
      </w:tblPr>
      <w:tblGrid>
        <w:gridCol w:w="5613"/>
        <w:gridCol w:w="5613"/>
      </w:tblGrid>
      <w:tr>
        <w:tc>
          <w:tcPr>
            <w:tcW w:type="dxa" w:w="9"/>
          </w:tcPr>
          <w:p>
            <w:r>
              <w:rPr>
                <w:rFonts w:ascii="Calibri" w:hAnsi="Calibri"/>
                <w:b/>
                <w:i w:val="0"/>
                <w:color w:val="3C3C3C"/>
              </w:rPr>
              <w:t>Cevap anahtarı üzerinden kontrollerinizi yapınız.</w:t>
              <w:br/>
              <w:t>İyi çalışmalar dilerim.</w:t>
            </w:r>
          </w:p>
        </w:tc>
        <w:tc>
          <w:tcPr>
            <w:tcW w:type="dxa" w:w="9"/>
          </w:tcPr>
          <w:p>
            <w:pPr>
              <w:jc w:val="right"/>
            </w:pPr>
            <w:r>
              <w:rPr>
                <w:rFonts w:ascii="Calibri" w:hAnsi="Calibri"/>
                <w:b/>
                <w:i w:val="0"/>
                <w:sz w:val="18"/>
              </w:rPr>
              <w:t>Okan ARSLAN</w:t>
              <w:br/>
            </w:r>
            <w:r>
              <w:rPr>
                <w:rFonts w:ascii="Calibri" w:hAnsi="Calibri"/>
                <w:b w:val="0"/>
                <w:i w:val="0"/>
                <w:sz w:val="18"/>
              </w:rPr>
              <w:t>Sosyal Bilgiler Öğretmeni</w:t>
            </w:r>
          </w:p>
        </w:tc>
      </w:tr>
    </w:tbl>
    <w:p>
      <w:pPr>
        <w:jc w:val="center"/>
        <w:spacing w:before="200" w:after="0"/>
      </w:pPr>
      <w:r>
        <w:drawing>
          <wp:inline xmlns:a="http://schemas.openxmlformats.org/drawingml/2006/main" xmlns:pic="http://schemas.openxmlformats.org/drawingml/2006/picture">
            <wp:extent cx="2160000" cy="720512"/>
            <wp:docPr id="1" name="Picture 1"/>
            <wp:cNvGraphicFramePr>
              <a:graphicFrameLocks noChangeAspect="1"/>
            </wp:cNvGraphicFramePr>
            <a:graphic>
              <a:graphicData uri="http://schemas.openxmlformats.org/drawingml/2006/picture">
                <pic:pic>
                  <pic:nvPicPr>
                    <pic:cNvPr id="0" name="image.png"/>
                    <pic:cNvPicPr/>
                  </pic:nvPicPr>
                  <pic:blipFill>
                    <a:blip r:embed="rId9"/>
                    <a:stretch>
                      <a:fillRect/>
                    </a:stretch>
                  </pic:blipFill>
                  <pic:spPr>
                    <a:xfrm>
                      <a:off x="0" y="0"/>
                      <a:ext cx="2160000" cy="720512"/>
                    </a:xfrm>
                    <a:prstGeom prst="rect"/>
                  </pic:spPr>
                </pic:pic>
              </a:graphicData>
            </a:graphic>
          </wp:inline>
        </w:drawing>
      </w:r>
    </w:p>
    <w:p>
      <w:pPr>
        <w:jc w:val="center"/>
        <w:spacing w:before="40" w:after="0"/>
      </w:pPr>
      <w:r>
        <w:rPr>
          <w:rFonts w:ascii="Calibri" w:hAnsi="Calibri"/>
          <w:b w:val="0"/>
          <w:i w:val="0"/>
          <w:color w:val="969696"/>
          <w:sz w:val="15"/>
        </w:rPr>
        <w:t xml:space="preserve">Bu cevap anahtarı </w:t>
      </w:r>
      <w:r>
        <w:rPr>
          <w:rFonts w:ascii="Calibri" w:hAnsi="Calibri"/>
          <w:b/>
          <w:color w:val="0066CC"/>
          <w:sz w:val="16"/>
        </w:rPr>
        <w:t>sinavhazir.com.tr</w:t>
      </w:r>
      <w:r>
        <w:rPr>
          <w:rFonts w:ascii="Calibri" w:hAnsi="Calibri"/>
          <w:b w:val="0"/>
          <w:i w:val="0"/>
          <w:color w:val="969696"/>
          <w:sz w:val="15"/>
        </w:rPr>
        <w:t xml:space="preserve"> platformu üzerinden hazırlanmıştır.</w:t>
      </w:r>
    </w:p>
    <w:sectPr w:rsidR="00FC693F" w:rsidRPr="0006063C" w:rsidSect="00034616">
      <w:pgSz w:w="11906" w:h="16838"/>
      <w:pgMar w:top="340" w:right="340" w:bottom="340" w:left="3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