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w:t>
      </w:r>
    </w:p>
    <w:p>
      <w:pPr>
        <w:jc w:val="center"/>
      </w:pPr>
      <w:r>
        <w:rPr>
          <w:b/>
          <w:sz w:val="22"/>
        </w:rPr>
        <w:t>I. DÜZEY · SEÇMELİ DÜŞÜNME EĞİTİMİ I DERSİ EYLÜL AYI</w:t>
      </w:r>
    </w:p>
    <w:p>
      <w:pPr>
        <w:jc w:val="center"/>
      </w:pPr>
      <w:r>
        <w:rPr>
          <w:b/>
          <w:sz w:val="22"/>
        </w:rPr>
        <w:t>MAARİF MODEL DERS RAPORU</w:t>
      </w:r>
    </w:p>
    <w:p>
      <w:pPr>
        <w:spacing w:after="150"/>
      </w:pPr>
    </w:p>
    <w:tbl>
      <w:tblPr>
        <w:tblW w:type="auto" w:w="0"/>
        <w:jc w:val="center"/>
        <w:tblLook w:firstColumn="1" w:firstRow="1" w:lastColumn="0" w:lastRow="0" w:noHBand="0" w:noVBand="1" w:val="04A0"/>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80" w:type="dxa"/>
          <w:left w:w="80" w:type="dxa"/>
          <w:bottom w:w="80" w:type="dxa"/>
          <w:right w:w="80" w:type="dxa"/>
        </w:tblCellMar>
      </w:tblPr>
      <w:tblGrid>
        <w:gridCol w:w="2409"/>
        <w:gridCol w:w="2409"/>
        <w:gridCol w:w="2409"/>
        <w:gridCol w:w="2409"/>
      </w:tblGrid>
      <w:tr>
        <w:tc>
          <w:tcPr>
            <w:tcW w:type="dxa" w:w="7200"/>
            <w:gridSpan w:val="2"/>
            <w:tcW w:w="7200" w:type="dxa"/>
            <w:vAlign w:val="center"/>
            <w:shd w:val="clear" w:color="auto" w:fill="D9D9D9"/>
          </w:tcPr>
          <w:p>
            <w:pPr>
              <w:spacing w:before="0" w:after="0"/>
            </w:pPr>
            <w:r/>
            <w:r>
              <w:rPr>
                <w:b/>
                <w:sz w:val="22"/>
              </w:rPr>
              <w:t>EYLÜL AYI TEMA VE ÖĞRENME ÇIKTILARI</w:t>
            </w:r>
          </w:p>
        </w:tc>
        <w:tc>
          <w:tcPr>
            <w:tcW w:type="dxa" w:w="2400"/>
            <w:gridSpan w:val="2"/>
            <w:tcW w:w="2400" w:type="dxa"/>
            <w:vAlign w:val="center"/>
            <w:shd w:val="clear" w:color="auto" w:fill="D9D9D9"/>
          </w:tcPr>
          <w:p>
            <w:pPr>
              <w:spacing w:before="0" w:after="0"/>
            </w:pPr>
            <w:r/>
            <w:r>
              <w:rPr>
                <w:b/>
                <w:sz w:val="24"/>
              </w:rPr>
              <w:t>Rapor No: 1</w:t>
            </w:r>
          </w:p>
        </w:tc>
      </w:tr>
      <w:tr>
        <w:tc>
          <w:tcPr>
            <w:tcW w:type="dxa" w:w="2900"/>
            <w:tcW w:w="2900" w:type="dxa"/>
            <w:vAlign w:val="center"/>
          </w:tcPr>
          <w:p>
            <w:pPr>
              <w:spacing w:before="0" w:after="0"/>
            </w:pPr>
            <w:r/>
            <w:r>
              <w:rPr>
                <w:b/>
              </w:rPr>
              <w:t>Ders Adı</w:t>
            </w:r>
          </w:p>
        </w:tc>
        <w:tc>
          <w:tcPr>
            <w:tcW w:type="dxa" w:w="4300"/>
            <w:tcW w:w="4300" w:type="dxa"/>
            <w:vAlign w:val="center"/>
          </w:tcPr>
          <w:p>
            <w:pPr>
              <w:spacing w:before="0" w:after="0"/>
            </w:pPr>
            <w:r/>
            <w:r>
              <w:rPr>
                <w:b/>
              </w:rPr>
              <w:t>Düşünme Eğitimi I</w:t>
            </w:r>
          </w:p>
        </w:tc>
        <w:tc>
          <w:tcPr>
            <w:tcW w:type="dxa" w:w="1400"/>
            <w:tcW w:w="1400" w:type="dxa"/>
            <w:vAlign w:val="center"/>
          </w:tcPr>
          <w:p>
            <w:pPr>
              <w:spacing w:before="0" w:after="0"/>
            </w:pPr>
            <w:r/>
            <w:r>
              <w:rPr>
                <w:b/>
              </w:rPr>
              <w:t>Sınıf Düzeyi:</w:t>
            </w:r>
          </w:p>
        </w:tc>
        <w:tc>
          <w:tcPr>
            <w:tcW w:type="dxa" w:w="1000"/>
            <w:tcW w:w="1000" w:type="dxa"/>
            <w:vAlign w:val="center"/>
          </w:tcPr>
          <w:p>
            <w:pPr>
              <w:spacing w:before="0" w:after="0"/>
            </w:pPr>
            <w:r/>
            <w:r>
              <w:rPr/>
              <w:t>I. Düzey · Seçmeli</w:t>
            </w:r>
          </w:p>
        </w:tc>
      </w:tr>
      <w:tr>
        <w:tc>
          <w:tcPr>
            <w:tcW w:type="dxa" w:w="2900"/>
            <w:tcW w:w="2900" w:type="dxa"/>
            <w:vAlign w:val="center"/>
          </w:tcPr>
          <w:p>
            <w:pPr>
              <w:spacing w:before="0" w:after="0"/>
            </w:pPr>
            <w:r/>
            <w:r>
              <w:rPr>
                <w:b/>
              </w:rPr>
              <w:t>Öğrenme Alanları ve Temalar</w:t>
            </w:r>
          </w:p>
        </w:tc>
        <w:tc>
          <w:tcPr>
            <w:tcW w:type="dxa" w:w="6700"/>
            <w:gridSpan w:val="3"/>
            <w:tcW w:w="6700" w:type="dxa"/>
            <w:vAlign w:val="center"/>
          </w:tcPr>
          <w:p>
            <w:pPr>
              <w:spacing w:before="0" w:after="0"/>
            </w:pPr>
            <w:r/>
            <w:r>
              <w:rPr/>
              <w:t>1. Ünite: Düşünme ve Düşünme Süreci</w:t>
            </w:r>
          </w:p>
        </w:tc>
      </w:tr>
      <w:tr>
        <w:tc>
          <w:tcPr>
            <w:tcW w:type="dxa" w:w="2900"/>
            <w:tcW w:w="2900" w:type="dxa"/>
            <w:vAlign w:val="center"/>
          </w:tcPr>
          <w:p>
            <w:pPr>
              <w:spacing w:before="0" w:after="0"/>
            </w:pPr>
            <w:r/>
            <w:r>
              <w:rPr>
                <w:b/>
              </w:rPr>
              <w:t>İçerik Çerçeveleri</w:t>
            </w:r>
          </w:p>
        </w:tc>
        <w:tc>
          <w:tcPr>
            <w:tcW w:type="dxa" w:w="6700"/>
            <w:gridSpan w:val="3"/>
            <w:tcW w:w="6700" w:type="dxa"/>
            <w:vAlign w:val="center"/>
          </w:tcPr>
          <w:p>
            <w:pPr>
              <w:spacing w:before="0" w:after="0"/>
            </w:pPr>
            <w:r/>
            <w:r>
              <w:rPr/>
              <w:t>Düşünme Süreci ve Zihinsel Etkinlikler</w:t>
            </w:r>
          </w:p>
        </w:tc>
      </w:tr>
      <w:tr>
        <w:tc>
          <w:tcPr>
            <w:tcW w:type="dxa" w:w="2900"/>
            <w:tcW w:w="2900" w:type="dxa"/>
            <w:vAlign w:val="center"/>
          </w:tcPr>
          <w:p>
            <w:pPr>
              <w:spacing w:before="0" w:after="0"/>
            </w:pPr>
            <w:r/>
            <w:r>
              <w:rPr>
                <w:b/>
              </w:rPr>
              <w:t>Öğrenme Çıktıları</w:t>
            </w:r>
          </w:p>
        </w:tc>
        <w:tc>
          <w:tcPr>
            <w:tcW w:type="dxa" w:w="6700"/>
            <w:gridSpan w:val="3"/>
            <w:tcW w:w="6700" w:type="dxa"/>
            <w:vAlign w:val="center"/>
          </w:tcPr>
          <w:p>
            <w:pPr>
              <w:spacing w:before="0" w:after="0"/>
            </w:pPr>
            <w:r/>
            <w:r>
              <w:rPr/>
              <w:t>DE.1.1.1. Düşünme süreci ve diğer zihinsel etkinlikler hakkında bilgi toplayabilme</w:t>
            </w:r>
          </w:p>
        </w:tc>
      </w:tr>
      <w:tr>
        <w:tc>
          <w:tcPr>
            <w:tcW w:type="dxa" w:w="2900"/>
            <w:tcW w:w="2900" w:type="dxa"/>
            <w:vAlign w:val="center"/>
          </w:tcPr>
          <w:p>
            <w:pPr>
              <w:spacing w:before="0" w:after="0"/>
            </w:pPr>
            <w:r/>
            <w:r>
              <w:rPr>
                <w:b/>
              </w:rPr>
              <w:t>Kavramsal Beceriler</w:t>
            </w:r>
          </w:p>
        </w:tc>
        <w:tc>
          <w:tcPr>
            <w:tcW w:type="dxa" w:w="6700"/>
            <w:gridSpan w:val="3"/>
            <w:tcW w:w="6700" w:type="dxa"/>
            <w:vAlign w:val="center"/>
          </w:tcPr>
          <w:p>
            <w:pPr>
              <w:spacing w:before="0" w:after="0"/>
            </w:pPr>
            <w:r/>
            <w:r>
              <w:rPr/>
              <w:t>KB2.6. Bilgi Toplama</w:t>
            </w:r>
          </w:p>
          <w:p>
            <w:pPr>
              <w:spacing w:before="0" w:after="0"/>
            </w:pPr>
            <w:r>
              <w:rPr/>
              <w:t>KB2.8. Sorgulama</w:t>
            </w:r>
          </w:p>
        </w:tc>
      </w:tr>
      <w:tr>
        <w:tc>
          <w:tcPr>
            <w:tcW w:type="dxa" w:w="2900"/>
            <w:tcW w:w="2900" w:type="dxa"/>
            <w:vAlign w:val="center"/>
          </w:tcPr>
          <w:p>
            <w:pPr>
              <w:spacing w:before="0" w:after="0"/>
            </w:pPr>
            <w:r/>
            <w:r>
              <w:rPr>
                <w:b/>
              </w:rPr>
              <w:t>Eğilimler</w:t>
            </w:r>
          </w:p>
        </w:tc>
        <w:tc>
          <w:tcPr>
            <w:tcW w:type="dxa" w:w="6700"/>
            <w:gridSpan w:val="3"/>
            <w:tcW w:w="6700" w:type="dxa"/>
            <w:vAlign w:val="center"/>
          </w:tcPr>
          <w:p>
            <w:pPr>
              <w:spacing w:before="0" w:after="0"/>
            </w:pPr>
            <w:r/>
            <w:r>
              <w:rPr/>
              <w:t>E1.1. Merak</w:t>
            </w:r>
          </w:p>
          <w:p>
            <w:pPr>
              <w:spacing w:before="0" w:after="0"/>
            </w:pPr>
            <w:r>
              <w:rPr/>
              <w:t>E3.3. Yaratıcılık</w:t>
            </w:r>
          </w:p>
          <w:p>
            <w:pPr>
              <w:spacing w:before="0" w:after="0"/>
            </w:pPr>
            <w:r>
              <w:rPr/>
              <w:t>E3.7. Sistematiklik</w:t>
            </w:r>
          </w:p>
          <w:p>
            <w:pPr>
              <w:spacing w:before="0" w:after="0"/>
            </w:pPr>
            <w:r>
              <w:rPr/>
              <w:t>E3.8. Soru Sorma</w:t>
            </w:r>
          </w:p>
        </w:tc>
      </w:tr>
      <w:tr>
        <w:tc>
          <w:tcPr>
            <w:tcW w:type="dxa" w:w="9600"/>
            <w:gridSpan w:val="4"/>
            <w:tcW w:w="9600" w:type="dxa"/>
            <w:vAlign w:val="center"/>
            <w:shd w:val="clear" w:color="auto" w:fill="D9D9D9"/>
          </w:tcPr>
          <w:p>
            <w:pPr>
              <w:spacing w:before="0" w:after="0"/>
            </w:pPr>
            <w:r/>
            <w:r>
              <w:rPr>
                <w:b/>
                <w:sz w:val="22"/>
              </w:rPr>
              <w:t>EYLÜL AYI PROGRAMLAR ARASI BİLEŞENLER</w:t>
            </w:r>
          </w:p>
        </w:tc>
      </w:tr>
      <w:tr>
        <w:tc>
          <w:tcPr>
            <w:tcW w:type="dxa" w:w="2900"/>
            <w:tcW w:w="2900" w:type="dxa"/>
            <w:vAlign w:val="center"/>
          </w:tcPr>
          <w:p>
            <w:pPr>
              <w:spacing w:before="0" w:after="0"/>
            </w:pPr>
            <w:r/>
            <w:r>
              <w:rPr>
                <w:b/>
              </w:rPr>
              <w:t>Sosyal-Duygusal Öğrenme Becerileri</w:t>
            </w:r>
          </w:p>
        </w:tc>
        <w:tc>
          <w:tcPr>
            <w:tcW w:type="dxa" w:w="6700"/>
            <w:gridSpan w:val="3"/>
            <w:tcW w:w="6700" w:type="dxa"/>
            <w:vAlign w:val="center"/>
          </w:tcPr>
          <w:p>
            <w:pPr>
              <w:spacing w:before="0" w:after="0"/>
            </w:pPr>
            <w:r/>
            <w:r>
              <w:rPr/>
              <w:t>SDB1.1. Kendini Tanıma (Öz Farkındalık)</w:t>
            </w:r>
          </w:p>
          <w:p>
            <w:pPr>
              <w:spacing w:before="0" w:after="0"/>
            </w:pPr>
            <w:r>
              <w:rPr/>
              <w:t>SDB1.2. Kendini Düzenleme (Öz Düzenleme)</w:t>
            </w:r>
          </w:p>
          <w:p>
            <w:pPr>
              <w:spacing w:before="0" w:after="0"/>
            </w:pPr>
            <w:r>
              <w:rPr/>
              <w:t>SDB2.1. İletişim</w:t>
            </w:r>
          </w:p>
          <w:p>
            <w:pPr>
              <w:spacing w:before="0" w:after="0"/>
            </w:pPr>
            <w:r>
              <w:rPr/>
              <w:t>SDB2.2. İş Birliği</w:t>
            </w:r>
          </w:p>
        </w:tc>
      </w:tr>
      <w:tr>
        <w:tc>
          <w:tcPr>
            <w:tcW w:type="dxa" w:w="2900"/>
            <w:tcW w:w="2900" w:type="dxa"/>
            <w:vAlign w:val="center"/>
          </w:tcPr>
          <w:p>
            <w:pPr>
              <w:spacing w:before="0" w:after="0"/>
            </w:pPr>
            <w:r/>
            <w:r>
              <w:rPr>
                <w:b/>
              </w:rPr>
              <w:t>Değerler</w:t>
            </w:r>
          </w:p>
        </w:tc>
        <w:tc>
          <w:tcPr>
            <w:tcW w:type="dxa" w:w="6700"/>
            <w:gridSpan w:val="3"/>
            <w:tcW w:w="6700" w:type="dxa"/>
            <w:vAlign w:val="center"/>
          </w:tcPr>
          <w:p>
            <w:pPr>
              <w:spacing w:before="0" w:after="0"/>
            </w:pPr>
            <w:r/>
            <w:r>
              <w:rPr/>
              <w:t>D3. Çalışkanlık</w:t>
            </w:r>
          </w:p>
          <w:p>
            <w:pPr>
              <w:spacing w:before="0" w:after="0"/>
            </w:pPr>
            <w:r>
              <w:rPr/>
              <w:t>D14. Saygı</w:t>
            </w:r>
          </w:p>
          <w:p>
            <w:pPr>
              <w:spacing w:before="0" w:after="0"/>
            </w:pPr>
            <w:r>
              <w:rPr/>
              <w:t>D16. Sorumluluk</w:t>
            </w:r>
          </w:p>
        </w:tc>
      </w:tr>
      <w:tr>
        <w:tc>
          <w:tcPr>
            <w:tcW w:type="dxa" w:w="2900"/>
            <w:tcW w:w="2900" w:type="dxa"/>
            <w:vAlign w:val="center"/>
          </w:tcPr>
          <w:p>
            <w:pPr>
              <w:spacing w:before="0" w:after="0"/>
            </w:pPr>
            <w:r/>
            <w:r>
              <w:rPr>
                <w:b/>
              </w:rPr>
              <w:t>Okuryazarlık Becerileri</w:t>
            </w:r>
          </w:p>
        </w:tc>
        <w:tc>
          <w:tcPr>
            <w:tcW w:type="dxa" w:w="6700"/>
            <w:gridSpan w:val="3"/>
            <w:tcW w:w="6700" w:type="dxa"/>
            <w:vAlign w:val="center"/>
          </w:tcPr>
          <w:p>
            <w:pPr>
              <w:spacing w:before="0" w:after="0"/>
            </w:pPr>
            <w:r/>
            <w:r>
              <w:rPr/>
              <w:t>OB1. Bilgi Okuryazarlığı</w:t>
            </w:r>
          </w:p>
          <w:p>
            <w:pPr>
              <w:spacing w:before="0" w:after="0"/>
            </w:pPr>
            <w:r>
              <w:rPr/>
              <w:t>OB2. Dijital Okuryazarlık</w:t>
            </w:r>
          </w:p>
          <w:p>
            <w:pPr>
              <w:spacing w:before="0" w:after="0"/>
            </w:pPr>
            <w:r>
              <w:rPr/>
              <w:t>OB4. Görsel Okuryazarlık</w:t>
            </w:r>
          </w:p>
        </w:tc>
      </w:tr>
      <w:tr>
        <w:tc>
          <w:tcPr>
            <w:tcW w:type="dxa" w:w="2900"/>
            <w:tcW w:w="2900" w:type="dxa"/>
            <w:vAlign w:val="center"/>
          </w:tcPr>
          <w:p>
            <w:pPr>
              <w:spacing w:before="0" w:after="0"/>
            </w:pPr>
            <w:r/>
            <w:r>
              <w:rPr>
                <w:b/>
              </w:rPr>
              <w:t>Disiplinler Arası İlişkiler</w:t>
            </w:r>
          </w:p>
        </w:tc>
        <w:tc>
          <w:tcPr>
            <w:tcW w:type="dxa" w:w="6700"/>
            <w:gridSpan w:val="3"/>
            <w:tcW w:w="6700" w:type="dxa"/>
            <w:vAlign w:val="center"/>
          </w:tcPr>
          <w:p>
            <w:pPr>
              <w:spacing w:before="0" w:after="0"/>
            </w:pPr>
            <w:r/>
            <w:r>
              <w:rPr/>
              <w:t>Türkçe, Sosyal Bilgiler, Fen Bilimleri</w:t>
            </w:r>
          </w:p>
        </w:tc>
      </w:tr>
      <w:tr>
        <w:tc>
          <w:tcPr>
            <w:tcW w:type="dxa" w:w="2900"/>
            <w:tcW w:w="2900" w:type="dxa"/>
            <w:vAlign w:val="center"/>
          </w:tcPr>
          <w:p>
            <w:pPr>
              <w:spacing w:before="0" w:after="0"/>
            </w:pPr>
            <w:r/>
            <w:r>
              <w:rPr>
                <w:b/>
              </w:rPr>
              <w:t>Beceriler Arası İlişkiler</w:t>
            </w:r>
          </w:p>
        </w:tc>
        <w:tc>
          <w:tcPr>
            <w:tcW w:type="dxa" w:w="6700"/>
            <w:gridSpan w:val="3"/>
            <w:tcW w:w="6700" w:type="dxa"/>
            <w:vAlign w:val="center"/>
          </w:tcPr>
          <w:p>
            <w:pPr>
              <w:spacing w:before="0" w:after="0"/>
            </w:pPr>
            <w:r/>
            <w:r>
              <w:rPr/>
              <w:t>KB2.3. Özetleme</w:t>
            </w:r>
          </w:p>
          <w:p>
            <w:pPr>
              <w:spacing w:before="0" w:after="0"/>
            </w:pPr>
            <w:r>
              <w:rPr/>
              <w:t>KB2.4. Çözümleme</w:t>
            </w:r>
          </w:p>
          <w:p>
            <w:pPr>
              <w:spacing w:before="0" w:after="0"/>
            </w:pPr>
            <w:r>
              <w:rPr/>
              <w:t>KB2.14. Yorumlama</w:t>
            </w:r>
          </w:p>
          <w:p>
            <w:pPr>
              <w:spacing w:before="0" w:after="0"/>
            </w:pPr>
            <w:r>
              <w:rPr/>
              <w:t>KB2.18. Tartışma</w:t>
            </w:r>
          </w:p>
        </w:tc>
      </w:tr>
      <w:tr>
        <w:tc>
          <w:tcPr>
            <w:tcW w:type="dxa" w:w="2900"/>
            <w:tcW w:w="2900" w:type="dxa"/>
            <w:vAlign w:val="center"/>
          </w:tcPr>
          <w:p>
            <w:pPr>
              <w:spacing w:before="0" w:after="0"/>
            </w:pPr>
            <w:r/>
            <w:r>
              <w:rPr>
                <w:b/>
              </w:rPr>
              <w:t>Anahtar Kavramlar</w:t>
            </w:r>
          </w:p>
        </w:tc>
        <w:tc>
          <w:tcPr>
            <w:tcW w:type="dxa" w:w="6700"/>
            <w:gridSpan w:val="3"/>
            <w:tcW w:w="6700" w:type="dxa"/>
            <w:vAlign w:val="center"/>
          </w:tcPr>
          <w:p>
            <w:pPr>
              <w:spacing w:before="0" w:after="0"/>
            </w:pPr>
            <w:r/>
            <w:r>
              <w:rPr/>
              <w:t>algı, anlama, duyum, düşünme, hafıza, imgelem, kavrama, merak, yargılama/ hüküm verme</w:t>
            </w:r>
          </w:p>
        </w:tc>
      </w:tr>
      <w:tr>
        <w:tc>
          <w:tcPr>
            <w:tcW w:type="dxa" w:w="2900"/>
            <w:tcW w:w="2900" w:type="dxa"/>
            <w:vAlign w:val="center"/>
          </w:tcPr>
          <w:p>
            <w:pPr>
              <w:spacing w:before="0" w:after="0"/>
            </w:pPr>
            <w:r/>
            <w:r>
              <w:rPr>
                <w:b/>
              </w:rPr>
              <w:t>Öğrenme Kanıtları</w:t>
            </w:r>
          </w:p>
        </w:tc>
        <w:tc>
          <w:tcPr>
            <w:tcW w:type="dxa" w:w="6700"/>
            <w:gridSpan w:val="3"/>
            <w:tcW w:w="6700" w:type="dxa"/>
            <w:vAlign w:val="center"/>
          </w:tcPr>
          <w:p>
            <w:pPr>
              <w:spacing w:before="0" w:after="0"/>
            </w:pPr>
            <w:r/>
            <w:r>
              <w:rPr/>
              <w:t>Bu ünitedeki öğrenme çıktıları; çalışma kâğıdı, kelime ilişkilendirme testi, yapılandırılmış grid, karşılaştırma tablosu, yansıtıcı yazı, kontrol listesi, performans görevi, gözlem formu, dereceli puanlama anahtarı, grup değerlendirme formu ve öz değerlendirme formu kullanılarak değerlendirilebilir. Performans görevi olarak öğrencilerden farklı düşünme edimleri ile ilgili bir afiş tasarlamaları istenebilir. Performans görevi; dereceli puanlama anahtarı, öz değerlendirme formu, gözlem formu veya kontrol listesi ile değerlendirilebilir.</w:t>
            </w:r>
          </w:p>
        </w:tc>
      </w:tr>
    </w:tbl>
    <w:p/>
    <w:p>
      <w:pPr>
        <w:keepNext/>
        <w:spacing w:after="120" w:line="360" w:lineRule="auto"/>
        <w:jc w:val="both"/>
      </w:pPr>
      <w:r>
        <w:rPr>
          <w:b/>
          <w:sz w:val="22"/>
        </w:rPr>
        <w:t>Düşünme ve Düşünme Süreci Ünitesi İşleniş Süreci</w:t>
      </w:r>
    </w:p>
    <w:p>
      <w:pPr>
        <w:spacing w:line="360" w:lineRule="auto" w:after="240"/>
        <w:ind w:firstLine="500"/>
        <w:jc w:val="both"/>
      </w:pPr>
      <w:r>
        <w:rPr>
          <w:sz w:val="20"/>
        </w:rPr>
        <w:t>Ortaokul seçmeli Düşünme Eğitimi I dersinde eylül ayı boyunca Türkiye Yüzyılı Maarif Modeli’nin öğrenci merkezli yaklaşımıyla “Düşünme ve Düşünme Süreci” ünitesi ele alındı. Bu ünitede öğrencilerin kendi zihinsel süreçlerinin farkına varmalarını sağlayarak düşünme süreci ve diğer zihinsel etkinlikler hakkında bilgi toplayabilmeleri, farklı düşünme biçimlerini analiz ederek sorgulayabilmeleri amaçlandı. Öğrencilere “düşünme” kavramına yönelik dur-düşün-söyle kartları uygulandı. Öğrencilere "Sınavda beklemediğiniz zorlukta bir soruyla karşılaştınız. Ne yaparsınız?", "İlk olarak aklınızdan ne geçer?" soruları yöneltildi ve cevapları istendi. Ardından öğrencilere "Aynı durum karşısında birçok farklı cevabın olmasının nedeni ne olabilir?", "Bu cevaplarda düşünmenin rolü sizce nedir?", "Bu cevaplarda kullanılan düşünme biçimleri aynı mıdır? Öğrencilerin düşünme, duyum, algı, hafıza ve imgelemle ilgili zihninde çağrışım yapan kelime veya kavramları yazması, yazdığı bu kavram veya kelimeleri duyum ve hafıza ile kullanarak anlamlı cümleler kurması beklendi. Öğrencilerin verilen yazılı ve görsel kaynakları inceleyerek bunlar arasından düşünme süreci ve diğer zihinsel etkinliklerin ne olduğuna ilişkin bilgi toplamada kullanabileceği kaynakları belirlemeleri sağlandı (OB1, OB4, SDB1.2). Kaynaklar arasında dijital içerikler, basılı yayınlar, öğretmen görüşmeleri, belgeseller ve uzman röportajları yer alabildi. Bu amaçla ayrıca dijital kaynaklardan da yararlanıldı (OB2). Bilgilerin kaynakları, tutarlılığı ve bilimsel geçerliği tartışıldı. Tartışmada karşılıklı saygıyla ya da nezakete uygun olarak tartışılması istendi (KB2.18, D14.1). Öğrencilerden kaynak güvenirliği üzerine zihinlerinde oluşan soruları sormaları istendi (E3.8). Bu çalışmalarla DE.1.1.1 öğrenme çıktısına yönelik süreç tamamlandı.</w:t>
      </w:r>
    </w:p>
    <w:p>
      <w:pPr>
        <w:keepNext/>
        <w:spacing w:after="120" w:line="360" w:lineRule="auto"/>
        <w:jc w:val="both"/>
      </w:pPr>
      <w:r>
        <w:rPr>
          <w:b/>
          <w:sz w:val="22"/>
        </w:rPr>
        <w:t>Araştırma Ödevleri ve Görevleri</w:t>
      </w:r>
    </w:p>
    <w:p>
      <w:pPr>
        <w:spacing w:line="360" w:lineRule="auto" w:after="240"/>
        <w:ind w:firstLine="500"/>
        <w:jc w:val="both"/>
      </w:pPr>
      <w:r>
        <w:rPr>
          <w:sz w:val="20"/>
        </w:rPr>
        <w:t>"Merak Günlüğü" adlı çalışma ile öğrencilerin araştırma sonucunda edindikleri bilgileri kaydetmeleri sağlandı. “Merakın Gücü” adlı araştırma görevi verildi. Bilgiler özetlenerek oluşturulan "Merak Dosyası" ile görev bilincini sürdürmeleri sağlandı (E1.1, D16.3, KB2.3). Günlükler sınıf içinde sunuldu. Bu ünitedeki öğrenme çıktıları; çalışma kâğıdı, kelime ilişkilendirme testi, yapılandırılmış grid, karşılaştırma tablosu, yansıtıcı yazı, kontrol listesi, performans görevi, gözlem formu, dereceli puanlama anahtarı, grup değerlendirme formu ve öz değerlendirme formu kullanılarak değerlendirildi. Performans görevi olarak öğrencilerden farklı düşünme edimleri ile ilgili bir afiş tasarlamaları istendi.</w:t>
      </w:r>
    </w:p>
    <w:p>
      <w:pPr>
        <w:keepNext/>
        <w:spacing w:after="120" w:line="360" w:lineRule="auto"/>
        <w:jc w:val="both"/>
      </w:pPr>
      <w:r>
        <w:rPr>
          <w:b/>
          <w:sz w:val="22"/>
        </w:rPr>
        <w:t>Gözlem ve Ölçme Değerlendirme</w:t>
      </w:r>
    </w:p>
    <w:p>
      <w:pPr>
        <w:spacing w:line="360" w:lineRule="auto" w:after="240"/>
        <w:ind w:firstLine="500"/>
        <w:jc w:val="both"/>
      </w:pPr>
      <w:r>
        <w:rPr>
          <w:sz w:val="20"/>
        </w:rPr>
        <w:t>Düşünme sürecini merkeze alan bir zihin haritası hazırlatıldı. Öğrencilere "Sizce düşünme nedir? ", "Sizce insan neden düşündü? " soruları yöneltildi. Öğrencilere "Limonu konuşmadan nasıl anlatabilirsiniz?", "Mavi rengi nasıl algılıyorsunuz?", "Gözlerimizle gördüğümüz ve zihnimizle algıladığımız nesneleri neden birbirimizden farklı algılıyor olabiliriz?" soruları soruldu. Süreç boyunca öğrencilerin merak (E1.1), yaratıcılık (E3.3) ve sistematiklik (E3.7) eğilimleri ile kendini tanıma (SDB1.1), kendini düzenleme (SDB1.2) ve iletişim (SDB2.1) becerileri gözlem formları ve kontrol listeleriyle izlendi. Elde edilen veriler doğrultusunda öğrenme eksikleri belirlenerek bireysel geri bildirimler verildi.</w:t>
      </w:r>
    </w:p>
    <w:p>
      <w:pPr>
        <w:keepNext/>
        <w:spacing w:after="120" w:line="360" w:lineRule="auto"/>
        <w:jc w:val="both"/>
      </w:pPr>
      <w:r>
        <w:rPr>
          <w:b/>
          <w:sz w:val="22"/>
        </w:rPr>
        <w:t>Zenginleştirme Çalışmaları</w:t>
      </w:r>
    </w:p>
    <w:p>
      <w:pPr>
        <w:spacing w:line="360" w:lineRule="auto" w:after="240"/>
        <w:ind w:firstLine="500"/>
        <w:jc w:val="both"/>
      </w:pPr>
      <w:r>
        <w:rPr>
          <w:sz w:val="20"/>
        </w:rPr>
        <w:t>Son zamanlarda verdiği önemli bir kararı düşünmesi istenerek bu kararı verirken düşünme sürecinin nasıl ilerlediğini ve hangi düşünme edimlerini kullandıklarını yazmaları istendi.</w:t>
      </w:r>
    </w:p>
    <w:p>
      <w:pPr>
        <w:keepNext/>
        <w:spacing w:after="120" w:line="360" w:lineRule="auto"/>
        <w:jc w:val="both"/>
      </w:pPr>
      <w:r>
        <w:rPr>
          <w:b/>
          <w:sz w:val="22"/>
        </w:rPr>
        <w:t>Destekleme Çalışmaları</w:t>
      </w:r>
    </w:p>
    <w:p>
      <w:pPr>
        <w:spacing w:line="360" w:lineRule="auto" w:after="240"/>
        <w:ind w:firstLine="500"/>
        <w:jc w:val="both"/>
      </w:pPr>
      <w:r>
        <w:rPr>
          <w:sz w:val="20"/>
        </w:rPr>
        <w:t>Düşünmenin bir süreç olduğunu fark ettirmek amacıyla öğrencilere örnek durumların yer aldığı çalışma kâğıdı verildi. Öğrencilerden bu çalışma kâğıtlarını öncesi-sırası-sonrası şeklinde doldurmaları istendi. Öğrencilere "Örneğin kantinde bir öğrenci sana güldü." cümlesi verilerek “Neden güldü?”, “Ne düşündün?”, ”Ne yaptın?” soruları yöneltildi. Ardından öğrencilere “Düşünmek bana göre … demektir.”, “Bir sorunumu çözerken en çok zorlandığım şey…” cümleleri verilerek tamamlamaları istendi.</w:t>
      </w:r>
    </w:p>
    <w:p>
      <w:pPr>
        <w:keepNext/>
        <w:spacing w:after="120" w:line="360" w:lineRule="auto"/>
        <w:jc w:val="both"/>
      </w:pPr>
      <w:r>
        <w:rPr>
          <w:b/>
          <w:sz w:val="22"/>
        </w:rPr>
        <w:t>Eylül Ayı Genel Değerlendirme</w:t>
      </w:r>
    </w:p>
    <w:p>
      <w:pPr>
        <w:spacing w:line="360" w:lineRule="auto" w:after="80"/>
        <w:ind w:firstLine="500"/>
        <w:jc w:val="both"/>
      </w:pPr>
      <w:r>
        <w:rPr>
          <w:sz w:val="20"/>
        </w:rPr>
        <w:t>Eylül ayı boyunca ortaokul seçmeli Düşünme Eğitimi I dersinde “Düşünme ve Düşünme Süreci” ünitesi kapsamında 1 öğrenme çıktısı (DE.1.1.1) üzerinde çalışıldı. Etkinliklerde bilgi toplama (KB2.6) ve sorgulama (KB2.8) kavramsal becerileri işe koşuldu. Öğrencilerin merak (E1.1), yaratıcılık (E3.3), sistematiklik (E3.7) ve soru sorma (E3.8) eğilimlerini destekleyen öğrenme ortamları oluşturuldu.</w:t>
      </w:r>
    </w:p>
    <w:p>
      <w:pPr>
        <w:spacing w:line="360" w:lineRule="auto" w:after="240"/>
        <w:ind w:firstLine="500"/>
        <w:jc w:val="both"/>
      </w:pPr>
      <w:r>
        <w:rPr>
          <w:sz w:val="20"/>
        </w:rPr>
        <w:t>Programlar arası bileşenler kapsamında kendini tanıma (SDB1.1), kendini düzenleme (SDB1.2), iletişim (SDB2.1) ve iş birliği (SDB2.2) becerileri geliştirildi. Etkinliklerde çalışkanlık (D3), saygı (D14) ve sorumluluk (D16) değerleri ön plana çıkarıldı. Bilgi okuryazarlığı (OB1), dijital okuryazarlık (OB2) ve görsel okuryazarlık (OB4) becerilerinin gelişimi desteklendi. Türkçe, Sosyal Bilgiler, Fen Bilimleri ile disiplinler arası ilişkiler kurularak konunun farklı boyutları ele alındı. Ay başında yapılan ön değerlendirme çalışmalarıyla öğrencilerin hazırbulunuşlukları belirlendi ve öğretim süreci buna göre düzenlendi. Gelecek ay DE.1.1.2, DE.1.2.1 ve DE.1.2.2 öğrenme çıktılarıyla sürecin devam etmesi planlandı. Genel olarak eylül ayı öğretim süreci programda öngörülen öğrenme çıktıları doğrultusunda tamamlandı.</w:t>
      </w:r>
    </w:p>
    <w:p/>
    <w:tbl>
      <w:tblPr>
        <w:tblW w:type="auto" w:w="0"/>
        <w:tblLook w:firstColumn="1" w:firstRow="1" w:lastColumn="0" w:lastRow="0" w:noHBand="0" w:noVBand="1" w:val="04A0"/>
        <w:tblBorders>
          <w:top w:val="nil" w:sz="6" w:space="0" w:color="000000"/>
          <w:left w:val="nil" w:sz="6" w:space="0" w:color="000000"/>
          <w:bottom w:val="nil" w:sz="6" w:space="0" w:color="000000"/>
          <w:right w:val="nil" w:sz="6" w:space="0" w:color="000000"/>
          <w:insideH w:val="nil" w:sz="6" w:space="0" w:color="000000"/>
          <w:insideV w:val="nil" w:sz="6" w:space="0" w:color="000000"/>
        </w:tblBorders>
        <w:tblCellMar>
          <w:top w:w="80" w:type="dxa"/>
          <w:left w:w="80" w:type="dxa"/>
          <w:bottom w:w="80" w:type="dxa"/>
          <w:right w:w="80" w:type="dxa"/>
        </w:tblCellMar>
      </w:tblPr>
      <w:tblGrid>
        <w:gridCol w:w="4819"/>
        <w:gridCol w:w="4819"/>
      </w:tblGrid>
      <w:tr>
        <w:tc>
          <w:tcPr>
            <w:tcW w:type="dxa" w:w="4819"/>
            <w:tcW w:w="4800" w:type="dxa"/>
            <w:vAlign w:val="center"/>
          </w:tcPr>
          <w:p>
            <w:pPr>
              <w:jc w:val="center"/>
            </w:pPr>
            <w:r/>
            <w:r>
              <w:rPr>
                <w:sz w:val="22"/>
              </w:rPr>
            </w:r>
          </w:p>
          <w:p>
            <w:pPr>
              <w:jc w:val="center"/>
            </w:pPr>
            <w:r>
              <w:rPr>
                <w:sz w:val="22"/>
              </w:rPr>
              <w:t>…………………</w:t>
            </w:r>
          </w:p>
          <w:p>
            <w:pPr>
              <w:jc w:val="center"/>
            </w:pPr>
            <w:r>
              <w:rPr>
                <w:b/>
                <w:sz w:val="22"/>
              </w:rPr>
              <w:t>Ders Öğretmeni</w:t>
            </w:r>
          </w:p>
        </w:tc>
        <w:tc>
          <w:tcPr>
            <w:tcW w:type="dxa" w:w="4819"/>
            <w:tcW w:w="4800" w:type="dxa"/>
            <w:vAlign w:val="center"/>
          </w:tcPr>
          <w:p>
            <w:pPr>
              <w:jc w:val="center"/>
            </w:pPr>
            <w:r/>
            <w:r>
              <w:rPr>
                <w:sz w:val="22"/>
              </w:rPr>
              <w:t>01.10.2026</w:t>
            </w:r>
          </w:p>
          <w:p>
            <w:pPr>
              <w:jc w:val="center"/>
            </w:pPr>
            <w:r>
              <w:rPr>
                <w:sz w:val="22"/>
              </w:rPr>
              <w:t>…………………</w:t>
            </w:r>
          </w:p>
          <w:p>
            <w:pPr>
              <w:jc w:val="center"/>
            </w:pPr>
            <w:r>
              <w:rPr>
                <w:b/>
                <w:sz w:val="22"/>
              </w:rPr>
              <w:t>Okul Müdürü</w:t>
            </w:r>
          </w:p>
        </w:tc>
      </w:tr>
    </w:tbl>
    <w:sectPr w:rsidR="00FC693F" w:rsidRPr="0006063C" w:rsidSect="00034616">
      <w:pgSz w:w="11906" w:h="16838"/>
      <w:pgMar w:top="850"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pPr>
    <w:rPr>
      <w:rFonts w:ascii="Calibri" w:hAnsi="Calibri" w:eastAsia="Calibri" w:cs="Calibri"/>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Düzey · Seçmeli Düşünme Eğitimi I Maarif Aylık Raporu — Eylül 2026-2027</dc:title>
  <dc:subject/>
  <dc:creator>evrakburada</dc:creator>
  <cp:keywords/>
  <dc:description>Kaynak: tymm.meb.gov.tr öğretim programı</dc:description>
  <cp:lastModifiedBy/>
  <cp:revision>1</cp:revision>
  <dcterms:created xsi:type="dcterms:W3CDTF">2013-12-23T23:15:00Z</dcterms:created>
  <dcterms:modified xsi:type="dcterms:W3CDTF">2013-12-23T23:15:00Z</dcterms:modified>
  <cp:category/>
</cp:coreProperties>
</file>