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w:t>
      </w:r>
    </w:p>
    <w:p>
      <w:pPr>
        <w:jc w:val="center"/>
      </w:pPr>
      <w:r>
        <w:rPr>
          <w:b/>
          <w:sz w:val="22"/>
        </w:rPr>
        <w:t>I. DÜZEY · SEÇMELİ AHLAK VE VATANDAŞLIK EĞİTİMİ I DERSİ EYLÜL AYI</w:t>
      </w:r>
    </w:p>
    <w:p>
      <w:pPr>
        <w:jc w:val="center"/>
      </w:pPr>
      <w:r>
        <w:rPr>
          <w:b/>
          <w:sz w:val="22"/>
        </w:rPr>
        <w:t>MAARİF MODEL DERS RAPORU</w:t>
      </w:r>
    </w:p>
    <w:p>
      <w:pPr>
        <w:spacing w:after="150"/>
      </w:pPr>
    </w:p>
    <w:tbl>
      <w:tblPr>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tblGrid>
        <w:gridCol w:w="2409"/>
        <w:gridCol w:w="2409"/>
        <w:gridCol w:w="2409"/>
        <w:gridCol w:w="2409"/>
      </w:tblGrid>
      <w:tr>
        <w:tc>
          <w:tcPr>
            <w:tcW w:type="dxa" w:w="7200"/>
            <w:gridSpan w:val="2"/>
            <w:tcW w:w="7200" w:type="dxa"/>
            <w:vAlign w:val="center"/>
            <w:shd w:val="clear" w:color="auto" w:fill="D9D9D9"/>
          </w:tcPr>
          <w:p>
            <w:pPr>
              <w:spacing w:before="0" w:after="0"/>
            </w:pPr>
            <w:r/>
            <w:r>
              <w:rPr>
                <w:b/>
                <w:sz w:val="22"/>
              </w:rPr>
              <w:t>EYLÜL AYI TEMA VE ÖĞRENME ÇIKTILARI</w:t>
            </w:r>
          </w:p>
        </w:tc>
        <w:tc>
          <w:tcPr>
            <w:tcW w:type="dxa" w:w="2400"/>
            <w:gridSpan w:val="2"/>
            <w:tcW w:w="2400" w:type="dxa"/>
            <w:vAlign w:val="center"/>
            <w:shd w:val="clear" w:color="auto" w:fill="D9D9D9"/>
          </w:tcPr>
          <w:p>
            <w:pPr>
              <w:spacing w:before="0" w:after="0"/>
            </w:pPr>
            <w:r/>
            <w:r>
              <w:rPr>
                <w:b/>
                <w:sz w:val="24"/>
              </w:rPr>
              <w:t>Rapor No: 1</w:t>
            </w:r>
          </w:p>
        </w:tc>
      </w:tr>
      <w:tr>
        <w:tc>
          <w:tcPr>
            <w:tcW w:type="dxa" w:w="2900"/>
            <w:tcW w:w="2900" w:type="dxa"/>
            <w:vAlign w:val="center"/>
          </w:tcPr>
          <w:p>
            <w:pPr>
              <w:spacing w:before="0" w:after="0"/>
            </w:pPr>
            <w:r/>
            <w:r>
              <w:rPr>
                <w:b/>
              </w:rPr>
              <w:t>Ders Adı</w:t>
            </w:r>
          </w:p>
        </w:tc>
        <w:tc>
          <w:tcPr>
            <w:tcW w:type="dxa" w:w="4300"/>
            <w:tcW w:w="4300" w:type="dxa"/>
            <w:vAlign w:val="center"/>
          </w:tcPr>
          <w:p>
            <w:pPr>
              <w:spacing w:before="0" w:after="0"/>
            </w:pPr>
            <w:r/>
            <w:r>
              <w:rPr>
                <w:b/>
              </w:rPr>
              <w:t>Ahlak ve Vatandaşlık Eğitimi I</w:t>
            </w:r>
          </w:p>
        </w:tc>
        <w:tc>
          <w:tcPr>
            <w:tcW w:type="dxa" w:w="1400"/>
            <w:tcW w:w="1400" w:type="dxa"/>
            <w:vAlign w:val="center"/>
          </w:tcPr>
          <w:p>
            <w:pPr>
              <w:spacing w:before="0" w:after="0"/>
            </w:pPr>
            <w:r/>
            <w:r>
              <w:rPr>
                <w:b/>
              </w:rPr>
              <w:t>Sınıf Düzeyi:</w:t>
            </w:r>
          </w:p>
        </w:tc>
        <w:tc>
          <w:tcPr>
            <w:tcW w:type="dxa" w:w="1000"/>
            <w:tcW w:w="1000" w:type="dxa"/>
            <w:vAlign w:val="center"/>
          </w:tcPr>
          <w:p>
            <w:pPr>
              <w:spacing w:before="0" w:after="0"/>
            </w:pPr>
            <w:r/>
            <w:r>
              <w:rPr/>
              <w:t>I. Düzey · Seçmeli</w:t>
            </w:r>
          </w:p>
        </w:tc>
      </w:tr>
      <w:tr>
        <w:tc>
          <w:tcPr>
            <w:tcW w:type="dxa" w:w="2900"/>
            <w:tcW w:w="2900" w:type="dxa"/>
            <w:vAlign w:val="center"/>
          </w:tcPr>
          <w:p>
            <w:pPr>
              <w:spacing w:before="0" w:after="0"/>
            </w:pPr>
            <w:r/>
            <w:r>
              <w:rPr>
                <w:b/>
              </w:rPr>
              <w:t>Öğrenme Alanları ve Temalar</w:t>
            </w:r>
          </w:p>
        </w:tc>
        <w:tc>
          <w:tcPr>
            <w:tcW w:type="dxa" w:w="6700"/>
            <w:gridSpan w:val="3"/>
            <w:tcW w:w="6700" w:type="dxa"/>
            <w:vAlign w:val="center"/>
          </w:tcPr>
          <w:p>
            <w:pPr>
              <w:spacing w:before="0" w:after="0"/>
            </w:pPr>
            <w:r/>
            <w:r>
              <w:rPr/>
              <w:t>1. Tema: Ahlaki Değerler ve Davranışlar</w:t>
            </w:r>
          </w:p>
        </w:tc>
      </w:tr>
      <w:tr>
        <w:tc>
          <w:tcPr>
            <w:tcW w:type="dxa" w:w="2900"/>
            <w:tcW w:w="2900" w:type="dxa"/>
            <w:vAlign w:val="center"/>
          </w:tcPr>
          <w:p>
            <w:pPr>
              <w:spacing w:before="0" w:after="0"/>
            </w:pPr>
            <w:r/>
            <w:r>
              <w:rPr>
                <w:b/>
              </w:rPr>
              <w:t>İçerik Çerçeveleri</w:t>
            </w:r>
          </w:p>
        </w:tc>
        <w:tc>
          <w:tcPr>
            <w:tcW w:type="dxa" w:w="6700"/>
            <w:gridSpan w:val="3"/>
            <w:tcW w:w="6700" w:type="dxa"/>
            <w:vAlign w:val="center"/>
          </w:tcPr>
          <w:p>
            <w:pPr>
              <w:spacing w:before="0" w:after="0"/>
            </w:pPr>
            <w:r/>
            <w:r>
              <w:rPr/>
              <w:t>Ahlakın Temel Kavramları ve Kaynakları</w:t>
            </w:r>
          </w:p>
        </w:tc>
      </w:tr>
      <w:tr>
        <w:tc>
          <w:tcPr>
            <w:tcW w:type="dxa" w:w="2900"/>
            <w:tcW w:w="2900" w:type="dxa"/>
            <w:vAlign w:val="center"/>
          </w:tcPr>
          <w:p>
            <w:pPr>
              <w:spacing w:before="0" w:after="0"/>
            </w:pPr>
            <w:r/>
            <w:r>
              <w:rPr>
                <w:b/>
              </w:rPr>
              <w:t>Öğrenme Çıktıları</w:t>
            </w:r>
          </w:p>
        </w:tc>
        <w:tc>
          <w:tcPr>
            <w:tcW w:type="dxa" w:w="6700"/>
            <w:gridSpan w:val="3"/>
            <w:tcW w:w="6700" w:type="dxa"/>
            <w:vAlign w:val="center"/>
          </w:tcPr>
          <w:p>
            <w:pPr>
              <w:spacing w:before="0" w:after="0"/>
            </w:pPr>
            <w:r/>
            <w:r>
              <w:rPr/>
              <w:t>AVE.1.1.1. Ahlaka ilişkin temel kavramlar ve ahlakın kaynakları hakkında bilgi toplayabilme</w:t>
            </w:r>
          </w:p>
        </w:tc>
      </w:tr>
      <w:tr>
        <w:tc>
          <w:tcPr>
            <w:tcW w:type="dxa" w:w="2900"/>
            <w:tcW w:w="2900" w:type="dxa"/>
            <w:vAlign w:val="center"/>
          </w:tcPr>
          <w:p>
            <w:pPr>
              <w:spacing w:before="0" w:after="0"/>
            </w:pPr>
            <w:r/>
            <w:r>
              <w:rPr>
                <w:b/>
              </w:rPr>
              <w:t>Alan Becerileri</w:t>
            </w:r>
          </w:p>
        </w:tc>
        <w:tc>
          <w:tcPr>
            <w:tcW w:type="dxa" w:w="6700"/>
            <w:gridSpan w:val="3"/>
            <w:tcW w:w="6700" w:type="dxa"/>
            <w:vAlign w:val="center"/>
          </w:tcPr>
          <w:p>
            <w:pPr>
              <w:spacing w:before="0" w:after="0"/>
            </w:pPr>
            <w:r/>
            <w:r>
              <w:rPr/>
              <w:t>SBAB2. Kanıta Dayalı Sorgulama ve Araştırma (SBAB2.2. Kaynaklardan Bilgi Toplama)</w:t>
            </w:r>
          </w:p>
        </w:tc>
      </w:tr>
      <w:tr>
        <w:tc>
          <w:tcPr>
            <w:tcW w:type="dxa" w:w="2900"/>
            <w:tcW w:w="2900" w:type="dxa"/>
            <w:vAlign w:val="center"/>
          </w:tcPr>
          <w:p>
            <w:pPr>
              <w:spacing w:before="0" w:after="0"/>
            </w:pPr>
            <w:r/>
            <w:r>
              <w:rPr>
                <w:b/>
              </w:rPr>
              <w:t>Kavramsal Beceriler</w:t>
            </w:r>
          </w:p>
        </w:tc>
        <w:tc>
          <w:tcPr>
            <w:tcW w:type="dxa" w:w="6700"/>
            <w:gridSpan w:val="3"/>
            <w:tcW w:w="6700" w:type="dxa"/>
            <w:vAlign w:val="center"/>
          </w:tcPr>
          <w:p>
            <w:pPr>
              <w:spacing w:before="0" w:after="0"/>
            </w:pPr>
            <w:r/>
            <w:r>
              <w:rPr/>
              <w:t>KB2.14. Yorumlama</w:t>
            </w:r>
          </w:p>
          <w:p>
            <w:pPr>
              <w:spacing w:before="0" w:after="0"/>
            </w:pPr>
            <w:r>
              <w:rPr/>
              <w:t>KB2.15. Yansıtma</w:t>
            </w:r>
          </w:p>
        </w:tc>
      </w:tr>
      <w:tr>
        <w:tc>
          <w:tcPr>
            <w:tcW w:type="dxa" w:w="2900"/>
            <w:tcW w:w="2900" w:type="dxa"/>
            <w:vAlign w:val="center"/>
          </w:tcPr>
          <w:p>
            <w:pPr>
              <w:spacing w:before="0" w:after="0"/>
            </w:pPr>
            <w:r/>
            <w:r>
              <w:rPr>
                <w:b/>
              </w:rPr>
              <w:t>Eğilimler</w:t>
            </w:r>
          </w:p>
        </w:tc>
        <w:tc>
          <w:tcPr>
            <w:tcW w:type="dxa" w:w="6700"/>
            <w:gridSpan w:val="3"/>
            <w:tcW w:w="6700" w:type="dxa"/>
            <w:vAlign w:val="center"/>
          </w:tcPr>
          <w:p>
            <w:pPr>
              <w:spacing w:before="0" w:after="0"/>
            </w:pPr>
            <w:r/>
            <w:r>
              <w:rPr/>
              <w:t>E1.6. Seçicilik</w:t>
            </w:r>
          </w:p>
          <w:p>
            <w:pPr>
              <w:spacing w:before="0" w:after="0"/>
            </w:pPr>
            <w:r>
              <w:rPr/>
              <w:t>E2.2. Sorumluluk</w:t>
            </w:r>
          </w:p>
          <w:p>
            <w:pPr>
              <w:spacing w:before="0" w:after="0"/>
            </w:pPr>
            <w:r>
              <w:rPr/>
              <w:t>E3.1. Muhakeme</w:t>
            </w:r>
          </w:p>
        </w:tc>
      </w:tr>
      <w:tr>
        <w:tc>
          <w:tcPr>
            <w:tcW w:type="dxa" w:w="9600"/>
            <w:gridSpan w:val="4"/>
            <w:tcW w:w="9600" w:type="dxa"/>
            <w:vAlign w:val="center"/>
            <w:shd w:val="clear" w:color="auto" w:fill="D9D9D9"/>
          </w:tcPr>
          <w:p>
            <w:pPr>
              <w:spacing w:before="0" w:after="0"/>
            </w:pPr>
            <w:r/>
            <w:r>
              <w:rPr>
                <w:b/>
                <w:sz w:val="22"/>
              </w:rPr>
              <w:t>EYLÜL AYI PROGRAMLAR ARASI BİLEŞENLER</w:t>
            </w:r>
          </w:p>
        </w:tc>
      </w:tr>
      <w:tr>
        <w:tc>
          <w:tcPr>
            <w:tcW w:type="dxa" w:w="2900"/>
            <w:tcW w:w="2900" w:type="dxa"/>
            <w:vAlign w:val="center"/>
          </w:tcPr>
          <w:p>
            <w:pPr>
              <w:spacing w:before="0" w:after="0"/>
            </w:pPr>
            <w:r/>
            <w:r>
              <w:rPr>
                <w:b/>
              </w:rPr>
              <w:t>Sosyal-Duygusal Öğrenme Becerileri</w:t>
            </w:r>
          </w:p>
        </w:tc>
        <w:tc>
          <w:tcPr>
            <w:tcW w:type="dxa" w:w="6700"/>
            <w:gridSpan w:val="3"/>
            <w:tcW w:w="6700" w:type="dxa"/>
            <w:vAlign w:val="center"/>
          </w:tcPr>
          <w:p>
            <w:pPr>
              <w:spacing w:before="0" w:after="0"/>
            </w:pPr>
            <w:r/>
            <w:r>
              <w:rPr/>
              <w:t>SDB2.1. İletişim</w:t>
            </w:r>
          </w:p>
          <w:p>
            <w:pPr>
              <w:spacing w:before="0" w:after="0"/>
            </w:pPr>
            <w:r>
              <w:rPr/>
              <w:t>SDB2.2. İş Birliği</w:t>
            </w:r>
          </w:p>
          <w:p>
            <w:pPr>
              <w:spacing w:before="0" w:after="0"/>
            </w:pPr>
            <w:r>
              <w:rPr/>
              <w:t>SDB2.3. Sosyal Farkındalık</w:t>
            </w:r>
          </w:p>
          <w:p>
            <w:pPr>
              <w:spacing w:before="0" w:after="0"/>
            </w:pPr>
            <w:r>
              <w:rPr/>
              <w:t>SDB3.1. Uyum</w:t>
            </w:r>
          </w:p>
        </w:tc>
      </w:tr>
      <w:tr>
        <w:tc>
          <w:tcPr>
            <w:tcW w:type="dxa" w:w="2900"/>
            <w:tcW w:w="2900" w:type="dxa"/>
            <w:vAlign w:val="center"/>
          </w:tcPr>
          <w:p>
            <w:pPr>
              <w:spacing w:before="0" w:after="0"/>
            </w:pPr>
            <w:r/>
            <w:r>
              <w:rPr>
                <w:b/>
              </w:rPr>
              <w:t>Değerler</w:t>
            </w:r>
          </w:p>
        </w:tc>
        <w:tc>
          <w:tcPr>
            <w:tcW w:type="dxa" w:w="6700"/>
            <w:gridSpan w:val="3"/>
            <w:tcW w:w="6700" w:type="dxa"/>
            <w:vAlign w:val="center"/>
          </w:tcPr>
          <w:p>
            <w:pPr>
              <w:spacing w:before="0" w:after="0"/>
            </w:pPr>
            <w:r/>
            <w:r>
              <w:rPr/>
              <w:t>D2. Aile Bütünlüğü</w:t>
            </w:r>
          </w:p>
          <w:p>
            <w:pPr>
              <w:spacing w:before="0" w:after="0"/>
            </w:pPr>
            <w:r>
              <w:rPr/>
              <w:t>D4. Dostluk</w:t>
            </w:r>
          </w:p>
          <w:p>
            <w:pPr>
              <w:spacing w:before="0" w:after="0"/>
            </w:pPr>
            <w:r>
              <w:rPr/>
              <w:t>D5. Duyarlılık</w:t>
            </w:r>
          </w:p>
          <w:p>
            <w:pPr>
              <w:spacing w:before="0" w:after="0"/>
            </w:pPr>
            <w:r>
              <w:rPr/>
              <w:t>D14. Saygı</w:t>
            </w:r>
          </w:p>
          <w:p>
            <w:pPr>
              <w:spacing w:before="0" w:after="0"/>
            </w:pPr>
            <w:r>
              <w:rPr/>
              <w:t>D16. Sorumluluk</w:t>
            </w:r>
          </w:p>
          <w:p>
            <w:pPr>
              <w:spacing w:before="0" w:after="0"/>
            </w:pPr>
            <w:r>
              <w:rPr/>
              <w:t>D20. Yardımseverlik</w:t>
            </w:r>
          </w:p>
        </w:tc>
      </w:tr>
      <w:tr>
        <w:tc>
          <w:tcPr>
            <w:tcW w:type="dxa" w:w="2900"/>
            <w:tcW w:w="2900" w:type="dxa"/>
            <w:vAlign w:val="center"/>
          </w:tcPr>
          <w:p>
            <w:pPr>
              <w:spacing w:before="0" w:after="0"/>
            </w:pPr>
            <w:r/>
            <w:r>
              <w:rPr>
                <w:b/>
              </w:rPr>
              <w:t>Okuryazarlık Becerileri</w:t>
            </w:r>
          </w:p>
        </w:tc>
        <w:tc>
          <w:tcPr>
            <w:tcW w:type="dxa" w:w="6700"/>
            <w:gridSpan w:val="3"/>
            <w:tcW w:w="6700" w:type="dxa"/>
            <w:vAlign w:val="center"/>
          </w:tcPr>
          <w:p>
            <w:pPr>
              <w:spacing w:before="0" w:after="0"/>
            </w:pPr>
            <w:r/>
            <w:r>
              <w:rPr/>
              <w:t>OB1. Bilgi Okuryazarlığı</w:t>
            </w:r>
          </w:p>
          <w:p>
            <w:pPr>
              <w:spacing w:before="0" w:after="0"/>
            </w:pPr>
            <w:r>
              <w:rPr/>
              <w:t>OB2. Dijital Okuryazarlık</w:t>
            </w:r>
          </w:p>
          <w:p>
            <w:pPr>
              <w:spacing w:before="0" w:after="0"/>
            </w:pPr>
            <w:r>
              <w:rPr/>
              <w:t>OB4. Görsel Okuryazarlık</w:t>
            </w:r>
          </w:p>
          <w:p>
            <w:pPr>
              <w:spacing w:before="0" w:after="0"/>
            </w:pPr>
            <w:r>
              <w:rPr/>
              <w:t>OB6. Vatandaşlık Okuryazarlığı</w:t>
            </w:r>
          </w:p>
          <w:p>
            <w:pPr>
              <w:spacing w:before="0" w:after="0"/>
            </w:pPr>
            <w:r>
              <w:rPr/>
              <w:t>OB9. Sanat Okuryazarlığı</w:t>
            </w:r>
          </w:p>
        </w:tc>
      </w:tr>
      <w:tr>
        <w:tc>
          <w:tcPr>
            <w:tcW w:type="dxa" w:w="2900"/>
            <w:tcW w:w="2900" w:type="dxa"/>
            <w:vAlign w:val="center"/>
          </w:tcPr>
          <w:p>
            <w:pPr>
              <w:spacing w:before="0" w:after="0"/>
            </w:pPr>
            <w:r/>
            <w:r>
              <w:rPr>
                <w:b/>
              </w:rPr>
              <w:t>Disiplinler Arası İlişkiler</w:t>
            </w:r>
          </w:p>
        </w:tc>
        <w:tc>
          <w:tcPr>
            <w:tcW w:type="dxa" w:w="6700"/>
            <w:gridSpan w:val="3"/>
            <w:tcW w:w="6700" w:type="dxa"/>
            <w:vAlign w:val="center"/>
          </w:tcPr>
          <w:p>
            <w:pPr>
              <w:spacing w:before="0" w:after="0"/>
            </w:pPr>
            <w:r/>
            <w:r>
              <w:rPr/>
              <w:t>Bilişim Teknolojileri ve Yazılım, Din Kültürü ve Ahlak Bilgisi, Görsel Sanatlar, Sosyal Bilgiler, Teknoloji ve Tasarım, Türkçe</w:t>
            </w:r>
          </w:p>
        </w:tc>
      </w:tr>
      <w:tr>
        <w:tc>
          <w:tcPr>
            <w:tcW w:type="dxa" w:w="2900"/>
            <w:tcW w:w="2900" w:type="dxa"/>
            <w:vAlign w:val="center"/>
          </w:tcPr>
          <w:p>
            <w:pPr>
              <w:spacing w:before="0" w:after="0"/>
            </w:pPr>
            <w:r/>
            <w:r>
              <w:rPr>
                <w:b/>
              </w:rPr>
              <w:t>Beceriler Arası İlişkiler</w:t>
            </w:r>
          </w:p>
        </w:tc>
        <w:tc>
          <w:tcPr>
            <w:tcW w:type="dxa" w:w="6700"/>
            <w:gridSpan w:val="3"/>
            <w:tcW w:w="6700" w:type="dxa"/>
            <w:vAlign w:val="center"/>
          </w:tcPr>
          <w:p>
            <w:pPr>
              <w:spacing w:before="0" w:after="0"/>
            </w:pPr>
            <w:r/>
            <w:r>
              <w:rPr/>
              <w:t>KB2.7. Karşılaştırma</w:t>
            </w:r>
          </w:p>
          <w:p>
            <w:pPr>
              <w:spacing w:before="0" w:after="0"/>
            </w:pPr>
            <w:r>
              <w:rPr/>
              <w:t>KB2.17. Değerlendirme</w:t>
            </w:r>
          </w:p>
        </w:tc>
      </w:tr>
      <w:tr>
        <w:tc>
          <w:tcPr>
            <w:tcW w:type="dxa" w:w="2900"/>
            <w:tcW w:w="2900" w:type="dxa"/>
            <w:vAlign w:val="center"/>
          </w:tcPr>
          <w:p>
            <w:pPr>
              <w:spacing w:before="0" w:after="0"/>
            </w:pPr>
            <w:r/>
            <w:r>
              <w:rPr>
                <w:b/>
              </w:rPr>
              <w:t>Anahtar Kavramlar</w:t>
            </w:r>
          </w:p>
        </w:tc>
        <w:tc>
          <w:tcPr>
            <w:tcW w:type="dxa" w:w="6700"/>
            <w:gridSpan w:val="3"/>
            <w:tcW w:w="6700" w:type="dxa"/>
            <w:vAlign w:val="center"/>
          </w:tcPr>
          <w:p>
            <w:pPr>
              <w:spacing w:before="0" w:after="0"/>
            </w:pPr>
            <w:r/>
            <w:r>
              <w:rPr/>
              <w:t>ahlak, ahlaki ilke, ahlaki karar alma, ahlaki ölçüt, ahlaki sorumluluk, aile, değer, edep, erdem, etik, huy, mizaç, terbiye, vicdan</w:t>
            </w:r>
          </w:p>
        </w:tc>
      </w:tr>
      <w:tr>
        <w:tc>
          <w:tcPr>
            <w:tcW w:type="dxa" w:w="2900"/>
            <w:tcW w:w="2900" w:type="dxa"/>
            <w:vAlign w:val="center"/>
          </w:tcPr>
          <w:p>
            <w:pPr>
              <w:spacing w:before="0" w:after="0"/>
            </w:pPr>
            <w:r/>
            <w:r>
              <w:rPr>
                <w:b/>
              </w:rPr>
              <w:t>Öğrenme Kanıtları</w:t>
            </w:r>
          </w:p>
        </w:tc>
        <w:tc>
          <w:tcPr>
            <w:tcW w:type="dxa" w:w="6700"/>
            <w:gridSpan w:val="3"/>
            <w:tcW w:w="6700" w:type="dxa"/>
            <w:vAlign w:val="center"/>
          </w:tcPr>
          <w:p>
            <w:pPr>
              <w:spacing w:before="0" w:after="0"/>
            </w:pPr>
            <w:r/>
            <w:r>
              <w:rPr/>
              <w:t>Bu temada yer alan öğrenme çıktıları; çalışma yaprakları, öz değerlendirme formu, öğrenme günlüğü ve dereceli puanlama anahtarı kullanılarak değerlendirilebilir. Performans görevi kapsamında öğrencilerden ahlaki ölçütlere göre inceledikleri olaylardan elde ettikleri çıkarımları yansıtan metin, poster, sunum, kısa video gibi ürünler oluşturmaları istenebilir. Performans görevi, dereceli puanlama anahtarı kullanılarak değerlendirilebilir.</w:t>
            </w:r>
          </w:p>
        </w:tc>
      </w:tr>
    </w:tbl>
    <w:p/>
    <w:p>
      <w:pPr>
        <w:keepNext/>
        <w:spacing w:after="120" w:line="360" w:lineRule="auto"/>
        <w:jc w:val="both"/>
      </w:pPr>
      <w:r>
        <w:rPr>
          <w:b/>
          <w:sz w:val="22"/>
        </w:rPr>
        <w:t>Ahlaki Değerler ve Davranışlar Teması İşleniş Süreci</w:t>
      </w:r>
    </w:p>
    <w:p>
      <w:pPr>
        <w:spacing w:line="360" w:lineRule="auto" w:after="240"/>
        <w:ind w:firstLine="500"/>
        <w:jc w:val="both"/>
      </w:pPr>
      <w:r>
        <w:rPr>
          <w:sz w:val="20"/>
        </w:rPr>
        <w:t>Eylül ayında ortaokul seçmeli Ahlak ve Vatandaşlık Eğitimi I dersinde, Türkiye Yüzyılı Maarif Modeli ilkeleri doğrultusunda “Ahlaki Değerler ve Davranışlar” teması üzerinde çalışıldı. Bu temada öğrencilerin ahlaka ilişkin temel kavramlar ve ahlakın kaynakları hakkında bilgi toplamaları, yakın çevrelerindeki olay ve olguları ahlaki ölçütlere göre yorumlama ve ahlaki davranışları kendi yaşamlarına yansıtmaları amaçlandı. Öğrencilerden yardımseverlik, yalan söylememe, insanlara saygılı davranma, toplu taşıma aracında yaşlılara yer verme, sözünde durma gibi ahlaki davranışların günlük hayata etkilerine örnekler vermeleri istendi. Öğrencilerden adalet, eşitlik, empati, dürüstlük, yardımseverlik, saygı gibi değerlerle ilişkili olan davranışlara günlük yaşamdan örnekler vermeleri istendi. Öğrencilerden dürüstlük, saygı, sorumluluk, adalet, yardımseverlik gibi temel değerler ve ahlaki sorumluluk kavramları ile ilgili yaşadıkları durumları paylaşmaları istendi. Öğrencilerden ahlaka ilişkin temel kavramlar (ahlak, iyi, kötü, vicdan, mizaç, edep, erdem vb.) ve ahlakın kaynakları (din, örf, adet, gelenek, görenek, görgü vb.) hakkında bilgi toplamak amacıyla verilen yazılı, sözlü, görsel veya dijital kaynakları incelemeleri ve hangi kaynaklardan yararlanacaklarını belirlemeleri istendi. Bu aşamada yazılı kaynaklar (kitap, makale, dergi, gazete haberleri vb.), sözlü kaynaklar (aile büyükleriyle yapılacak kısa görüşmeler vb.), görsel kaynaklar (afiş, broşür, belgesel, video vb.) ve dijital kaynaklar (güvenilir genel ağ siteleri, çevrim içi ansiklopediler vb.) arasından seçim yapabilecekleri vurgulandı (E1.6, OB1, OB2, OB4). Öğrencilerden belirledikleri kaynaklardan ahlaka ilişkin temel kavramlar ve ahlakın kaynakları hakkında bilgi toplamaları istendi. Bu çalışmalarla AVE.1.1.1 öğrenme çıktısına yönelik süreç tamamlandı.</w:t>
      </w:r>
    </w:p>
    <w:p>
      <w:pPr>
        <w:keepNext/>
        <w:spacing w:after="120" w:line="360" w:lineRule="auto"/>
        <w:jc w:val="both"/>
      </w:pPr>
      <w:r>
        <w:rPr>
          <w:b/>
          <w:sz w:val="22"/>
        </w:rPr>
        <w:t>Araştırma Ödevleri ve Görevleri</w:t>
      </w:r>
    </w:p>
    <w:p>
      <w:pPr>
        <w:spacing w:line="360" w:lineRule="auto" w:after="240"/>
        <w:ind w:firstLine="500"/>
        <w:jc w:val="both"/>
      </w:pPr>
      <w:r>
        <w:rPr>
          <w:sz w:val="20"/>
        </w:rPr>
        <w:t>Bu aşamada ahlakın tanımı, temel kavramların anlamları ve kaynakları; kavram haritası, bilgi kartı veya dijital sunum şeklinde düzenlenerek kaydedildi. Performans görevi kapsamında öğrencilerden ahlaki ölçütlere göre inceledikleri olaylardan elde ettikleri çıkarımları yansıtan metin, poster, sunum, kısa video gibi ürünler oluşturmaları istendi. Performans görevi, dereceli puanlama anahtarı kullanılarak değerlendirildi.</w:t>
      </w:r>
    </w:p>
    <w:p>
      <w:pPr>
        <w:keepNext/>
        <w:spacing w:after="120" w:line="360" w:lineRule="auto"/>
        <w:jc w:val="both"/>
      </w:pPr>
      <w:r>
        <w:rPr>
          <w:b/>
          <w:sz w:val="22"/>
        </w:rPr>
        <w:t>Gözlem ve Ölçme Değerlendirme</w:t>
      </w:r>
    </w:p>
    <w:p>
      <w:pPr>
        <w:spacing w:line="360" w:lineRule="auto" w:after="240"/>
        <w:ind w:firstLine="500"/>
        <w:jc w:val="both"/>
      </w:pPr>
      <w:r>
        <w:rPr>
          <w:sz w:val="20"/>
        </w:rPr>
        <w:t>Öğrencilere “Ahlak nedir?”, “İyi ve kötü kavramlarını nasıl tanımlarsınız?”, “Doğru ve yanlış kavramları sizin için ne ifade ediyor?” gibi açık uçlu sorular soruldu. Öğrencilere “Dürüstlük, yardımseverlik, saygı ve adalet sizin için ne ifade ediyor?”, “Günlük yaşamda iyi ve kötü davranışları nasıl ayırt edersiniz?” gibi sorular soruldu. Öğrencilere “Sizce ahlaki sorumluluk nedir?”, “Günlük yaşamda hangi davranışlarınızı ahlaki buluyorsunuz?”, “Bu davranışlarınız başkalarını nasıl etkiliyor?” gibi sorular soruldu. Bu temada yer alan öğrenme çıktıları; çalışma yaprakları, öz değerlendirme formu, öğrenme günlüğü ve dereceli puanlama anahtarı kullanılarak değerlendirildi. Süreç boyunca öğrencilerin seçicilik (E1.6), sorumluluk (E2.2) ve muhakeme (E3.1) eğilimleri ile iletişim (SDB2.1), iş birliği (SDB2.2) ve sosyal farkındalık (SDB2.3) becerileri gözlem formları ve kontrol listeleriyle izlendi. Elde edilen veriler doğrultusunda öğrenme eksikleri belirlenerek bireysel geri bildirimler verildi.</w:t>
      </w:r>
    </w:p>
    <w:p>
      <w:pPr>
        <w:keepNext/>
        <w:spacing w:after="120" w:line="360" w:lineRule="auto"/>
        <w:jc w:val="both"/>
      </w:pPr>
      <w:r>
        <w:rPr>
          <w:b/>
          <w:sz w:val="22"/>
        </w:rPr>
        <w:t>Zenginleştirme Çalışmaları</w:t>
      </w:r>
    </w:p>
    <w:p>
      <w:pPr>
        <w:spacing w:line="360" w:lineRule="auto" w:after="240"/>
        <w:ind w:firstLine="500"/>
        <w:jc w:val="both"/>
      </w:pPr>
      <w:r>
        <w:rPr>
          <w:sz w:val="20"/>
        </w:rPr>
        <w:t>Öğrencilerden ahlaki değerlerin günlük yaşama yansımaları ile ilgili senaryolar hazırlayarak bu senaryoları rol yapma ve drama şeklinde canlandırmaları istendi. Öğrencilerden değerlerle ilgili (dürüstlük, adalet, saygı vb.) özlü sözler bulmaları veya üretmeleri ve bu sözlerin anlamını açıklamaları istendi. Yapılan çalışmalar daha sonra sınıfta hazırlanacak panoda sergilendi. Öğrencilere dürüstlük ve arkadaşlık gibi değerlerin çatıştığı tamamlanmamış bir örnek olay sunuldu. Öğrencilerden örnek olayı, toplumsal faydayı gözeterek verecekleri kararı gerekçelendirecek şekilde tamamlamaları istendi.</w:t>
      </w:r>
    </w:p>
    <w:p>
      <w:pPr>
        <w:keepNext/>
        <w:spacing w:after="120" w:line="360" w:lineRule="auto"/>
        <w:jc w:val="both"/>
      </w:pPr>
      <w:r>
        <w:rPr>
          <w:b/>
          <w:sz w:val="22"/>
        </w:rPr>
        <w:t>Destekleme Çalışmaları</w:t>
      </w:r>
    </w:p>
    <w:p>
      <w:pPr>
        <w:spacing w:line="360" w:lineRule="auto" w:after="240"/>
        <w:ind w:firstLine="500"/>
        <w:jc w:val="both"/>
      </w:pPr>
      <w:r>
        <w:rPr>
          <w:sz w:val="20"/>
        </w:rPr>
        <w:t>Öğrencilerden çevrelerindeki büyükleriyle ahlakın ne olduğu ve ahlaki davranışların neler olduğu üzerine konuşmaları istendi. Bu konularla ilgili yaşadıkları bir olayı öğrenmek için onlarla röportaj yapmaları ve elde ettikleri bilgileri sınıfta paylaşmaları istendi. Bir hafta boyunca dikkatlerini çeken olayları kaydetmeleri ve bu olayları ahlaki öl çütlere göre yorumlayarak sınıfta sunmaları istendi. Öğrencilerden sunulan senaryolar veya kısa videolardan yola çıkarak ahlaki sorumlulukların günlük yaşamda nasıl uygulandığını sınıfta sunmaları istendi.</w:t>
      </w:r>
    </w:p>
    <w:p>
      <w:pPr>
        <w:keepNext/>
        <w:spacing w:after="120" w:line="360" w:lineRule="auto"/>
        <w:jc w:val="both"/>
      </w:pPr>
      <w:r>
        <w:rPr>
          <w:b/>
          <w:sz w:val="22"/>
        </w:rPr>
        <w:t>Eylül Ayı Genel Değerlendirme</w:t>
      </w:r>
    </w:p>
    <w:p>
      <w:pPr>
        <w:spacing w:line="360" w:lineRule="auto" w:after="80"/>
        <w:ind w:firstLine="500"/>
        <w:jc w:val="both"/>
      </w:pPr>
      <w:r>
        <w:rPr>
          <w:sz w:val="20"/>
        </w:rPr>
        <w:t>Eylül ayı boyunca ortaokul seçmeli Ahlak ve Vatandaşlık Eğitimi I dersinde “Ahlaki Değerler ve Davranışlar” teması kapsamında 1 öğrenme çıktısı (AVE.1.1.1) üzerinde çalışıldı. Öğrenme sürecinde kanıta dayalı sorgulama ve araştırma (SBAB2) alan becerileri ön plana çıkarıldı. Etkinliklerde yorumlama (KB2.14) ve yansıtma (KB2.15) kavramsal becerileri işe koşuldu. Öğrencilerin seçicilik (E1.6), sorumluluk (E2.2) ve muhakeme (E3.1) eğilimlerini destekleyen öğrenme ortamları oluşturuldu.</w:t>
      </w:r>
    </w:p>
    <w:p>
      <w:pPr>
        <w:spacing w:line="360" w:lineRule="auto" w:after="240"/>
        <w:ind w:firstLine="500"/>
        <w:jc w:val="both"/>
      </w:pPr>
      <w:r>
        <w:rPr>
          <w:sz w:val="20"/>
        </w:rPr>
        <w:t>Programlar arası bileşenler kapsamında iletişim (SDB2.1), iş birliği (SDB2.2), sosyal farkındalık (SDB2.3) ve uyum (SDB3.1) becerileri geliştirildi. Aile bütünlüğü (D2), dostluk (D4), duyarlılık (D5), saygı (D14) ve sorumluluk (D16) değerleri sınıf içi etkinliklerle ilişkilendirildi. Bilgi okuryazarlığı (OB1), dijital okuryazarlık (OB2), görsel okuryazarlık (OB4) ve vatandaşlık okuryazarlığı (OB6) becerilerinin gelişimi desteklendi. Bilişim Teknolojileri ve Yazılım, Din Kültürü ve Ahlak Bilgisi, Görsel Sanatlar, Sosyal Bilgiler, Teknoloji ve Tasarım, Türkçe ile disiplinler arası ilişkiler kurularak konunun farklı boyutları ele alındı. Ön değerlendirme sonuçları dikkate alınarak etkinlikler öğrencilerin hazırbulunuşluk düzeylerine göre farklılaştırıldı. Gelecek ay AVE.1.1.2, AVE.1.1.3 ve AVE.1.2.1 öğrenme çıktılarıyla sürecin devam etmesi planlandı. Bu ay yürütülen çalışmalar, öğrencilerin bütüncül gelişimini destekleyen nitelikte tamamlandı.</w:t>
      </w:r>
    </w:p>
    <w:p/>
    <w:tbl>
      <w:tblPr>
        <w:tblW w:type="auto" w:w="0"/>
        <w:tblLook w:firstColumn="1" w:firstRow="1" w:lastColumn="0" w:lastRow="0" w:noHBand="0" w:noVBand="1" w:val="04A0"/>
        <w:tblBorders>
          <w:top w:val="nil" w:sz="6" w:space="0" w:color="000000"/>
          <w:left w:val="nil" w:sz="6" w:space="0" w:color="000000"/>
          <w:bottom w:val="nil" w:sz="6" w:space="0" w:color="000000"/>
          <w:right w:val="nil" w:sz="6" w:space="0" w:color="000000"/>
          <w:insideH w:val="nil" w:sz="6" w:space="0" w:color="000000"/>
          <w:insideV w:val="nil" w:sz="6" w:space="0" w:color="000000"/>
        </w:tblBorders>
        <w:tblCellMar>
          <w:top w:w="80" w:type="dxa"/>
          <w:left w:w="80" w:type="dxa"/>
          <w:bottom w:w="80" w:type="dxa"/>
          <w:right w:w="80" w:type="dxa"/>
        </w:tblCellMar>
      </w:tblPr>
      <w:tblGrid>
        <w:gridCol w:w="4819"/>
        <w:gridCol w:w="4819"/>
      </w:tblGrid>
      <w:tr>
        <w:tc>
          <w:tcPr>
            <w:tcW w:type="dxa" w:w="4819"/>
            <w:tcW w:w="4800" w:type="dxa"/>
            <w:vAlign w:val="center"/>
          </w:tcPr>
          <w:p>
            <w:pPr>
              <w:jc w:val="center"/>
            </w:pPr>
            <w:r/>
            <w:r>
              <w:rPr>
                <w:sz w:val="22"/>
              </w:rPr>
            </w:r>
          </w:p>
          <w:p>
            <w:pPr>
              <w:jc w:val="center"/>
            </w:pPr>
            <w:r>
              <w:rPr>
                <w:sz w:val="22"/>
              </w:rPr>
              <w:t>…………………</w:t>
            </w:r>
          </w:p>
          <w:p>
            <w:pPr>
              <w:jc w:val="center"/>
            </w:pPr>
            <w:r>
              <w:rPr>
                <w:b/>
                <w:sz w:val="22"/>
              </w:rPr>
              <w:t>Ders Öğretmeni</w:t>
            </w:r>
          </w:p>
        </w:tc>
        <w:tc>
          <w:tcPr>
            <w:tcW w:type="dxa" w:w="4819"/>
            <w:tcW w:w="4800" w:type="dxa"/>
            <w:vAlign w:val="center"/>
          </w:tcPr>
          <w:p>
            <w:pPr>
              <w:jc w:val="center"/>
            </w:pPr>
            <w:r/>
            <w:r>
              <w:rPr>
                <w:sz w:val="22"/>
              </w:rPr>
              <w:t>01.10.2026</w:t>
            </w:r>
          </w:p>
          <w:p>
            <w:pPr>
              <w:jc w:val="center"/>
            </w:pPr>
            <w:r>
              <w:rPr>
                <w:sz w:val="22"/>
              </w:rPr>
              <w:t>…………………</w:t>
            </w:r>
          </w:p>
          <w:p>
            <w:pPr>
              <w:jc w:val="center"/>
            </w:pPr>
            <w:r>
              <w:rPr>
                <w:b/>
                <w:sz w:val="22"/>
              </w:rPr>
              <w:t>Okul Müdürü</w:t>
            </w:r>
          </w:p>
        </w:tc>
      </w:tr>
    </w:tbl>
    <w:sectPr w:rsidR="00FC693F" w:rsidRPr="0006063C" w:rsidSect="00034616">
      <w:pgSz w:w="11906" w:h="16838"/>
      <w:pgMar w:top="85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libri" w:hAnsi="Calibri" w:eastAsia="Calibri" w:cs="Calibri"/>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Düzey · Seçmeli Ahlak ve Vatandaşlık Eğitimi I Maarif Aylık Raporu — Eylül 2026-2027</dc:title>
  <dc:subject/>
  <dc:creator>evrakburada</dc:creator>
  <cp:keywords/>
  <dc:description>Kaynak: tymm.meb.gov.tr öğretim programı</dc:description>
  <cp:lastModifiedBy/>
  <cp:revision>1</cp:revision>
  <dcterms:created xsi:type="dcterms:W3CDTF">2013-12-23T23:15:00Z</dcterms:created>
  <dcterms:modified xsi:type="dcterms:W3CDTF">2013-12-23T23:15:00Z</dcterms:modified>
  <cp:category/>
</cp:coreProperties>
</file>