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3DF" w:rsidRDefault="005634EB">
      <w:pPr>
        <w:jc w:val="center"/>
      </w:pPr>
      <w:r>
        <w:rPr>
          <w:b/>
          <w:sz w:val="22"/>
        </w:rPr>
        <w:t>…………………</w:t>
      </w:r>
    </w:p>
    <w:p w:rsidR="00BE03DF" w:rsidRDefault="005634EB">
      <w:pPr>
        <w:jc w:val="center"/>
      </w:pPr>
      <w:r>
        <w:rPr>
          <w:b/>
          <w:sz w:val="22"/>
        </w:rPr>
        <w:t>I. DÜZEY · SEÇMELİ AFET BİLİNCİ I DERSİ EYLÜL AYI</w:t>
      </w:r>
    </w:p>
    <w:p w:rsidR="00BE03DF" w:rsidRDefault="005634EB">
      <w:pPr>
        <w:jc w:val="center"/>
      </w:pPr>
      <w:r>
        <w:rPr>
          <w:b/>
          <w:sz w:val="22"/>
        </w:rPr>
        <w:t>MAARİF MODEL DERS RAPORU</w:t>
      </w:r>
    </w:p>
    <w:p w:rsidR="00BE03DF" w:rsidRDefault="00BE03DF">
      <w:pPr>
        <w:spacing w:after="150"/>
      </w:pPr>
    </w:p>
    <w:tbl>
      <w:tblPr>
        <w:tblStyle w:val="TabloKlavuzu"/>
        <w:tblW w:w="0" w:type="auto"/>
        <w:tblLook w:val="04A0" w:firstRow="1" w:lastRow="0" w:firstColumn="1" w:lastColumn="0" w:noHBand="0" w:noVBand="1"/>
      </w:tblPr>
      <w:tblGrid>
        <w:gridCol w:w="2900"/>
        <w:gridCol w:w="4300"/>
        <w:gridCol w:w="1400"/>
        <w:gridCol w:w="1000"/>
      </w:tblGrid>
      <w:tr w:rsidR="00BE03DF" w:rsidTr="00086CE7">
        <w:tc>
          <w:tcPr>
            <w:tcW w:w="7200" w:type="dxa"/>
            <w:gridSpan w:val="2"/>
          </w:tcPr>
          <w:p w:rsidR="00BE03DF" w:rsidRDefault="005634EB">
            <w:r>
              <w:rPr>
                <w:b/>
                <w:sz w:val="22"/>
              </w:rPr>
              <w:t>EYLÜL AYI TEMA VE ÖĞRENME ÇIKTILARI</w:t>
            </w:r>
          </w:p>
        </w:tc>
        <w:tc>
          <w:tcPr>
            <w:tcW w:w="2400" w:type="dxa"/>
            <w:gridSpan w:val="2"/>
          </w:tcPr>
          <w:p w:rsidR="00BE03DF" w:rsidRDefault="005634EB">
            <w:r>
              <w:rPr>
                <w:b/>
                <w:sz w:val="24"/>
              </w:rPr>
              <w:t>Rapor No: 1</w:t>
            </w:r>
          </w:p>
        </w:tc>
      </w:tr>
      <w:tr w:rsidR="00BE03DF" w:rsidTr="00086CE7">
        <w:tc>
          <w:tcPr>
            <w:tcW w:w="2900" w:type="dxa"/>
          </w:tcPr>
          <w:p w:rsidR="00BE03DF" w:rsidRDefault="005634EB">
            <w:r>
              <w:rPr>
                <w:b/>
              </w:rPr>
              <w:t>Ders Adı</w:t>
            </w:r>
          </w:p>
        </w:tc>
        <w:tc>
          <w:tcPr>
            <w:tcW w:w="4300" w:type="dxa"/>
          </w:tcPr>
          <w:p w:rsidR="00BE03DF" w:rsidRDefault="005634EB">
            <w:r>
              <w:rPr>
                <w:b/>
              </w:rPr>
              <w:t>Afet Bilinci I</w:t>
            </w:r>
          </w:p>
        </w:tc>
        <w:tc>
          <w:tcPr>
            <w:tcW w:w="1400" w:type="dxa"/>
          </w:tcPr>
          <w:p w:rsidR="00BE03DF" w:rsidRDefault="005634EB">
            <w:r>
              <w:rPr>
                <w:b/>
              </w:rPr>
              <w:t>Sınıf Düzeyi:</w:t>
            </w:r>
          </w:p>
        </w:tc>
        <w:tc>
          <w:tcPr>
            <w:tcW w:w="1000" w:type="dxa"/>
          </w:tcPr>
          <w:p w:rsidR="00BE03DF" w:rsidRDefault="005634EB">
            <w:r>
              <w:t>I. Düzey · Seçmeli</w:t>
            </w:r>
          </w:p>
        </w:tc>
      </w:tr>
      <w:tr w:rsidR="00BE03DF" w:rsidTr="00086CE7">
        <w:tc>
          <w:tcPr>
            <w:tcW w:w="2900" w:type="dxa"/>
          </w:tcPr>
          <w:p w:rsidR="00BE03DF" w:rsidRDefault="005634EB">
            <w:r>
              <w:rPr>
                <w:b/>
              </w:rPr>
              <w:t>Öğrenme Alanları ve Temalar</w:t>
            </w:r>
          </w:p>
        </w:tc>
        <w:tc>
          <w:tcPr>
            <w:tcW w:w="6700" w:type="dxa"/>
            <w:gridSpan w:val="3"/>
          </w:tcPr>
          <w:p w:rsidR="00BE03DF" w:rsidRDefault="005634EB">
            <w:r>
              <w:t>1. Ünite: Afet ve Afet Bilinci</w:t>
            </w:r>
          </w:p>
        </w:tc>
      </w:tr>
      <w:tr w:rsidR="00BE03DF" w:rsidTr="00086CE7">
        <w:tc>
          <w:tcPr>
            <w:tcW w:w="2900" w:type="dxa"/>
          </w:tcPr>
          <w:p w:rsidR="00BE03DF" w:rsidRDefault="005634EB">
            <w:r>
              <w:rPr>
                <w:b/>
              </w:rPr>
              <w:t>İçerik Çerçeveleri</w:t>
            </w:r>
          </w:p>
        </w:tc>
        <w:tc>
          <w:tcPr>
            <w:tcW w:w="6700" w:type="dxa"/>
            <w:gridSpan w:val="3"/>
          </w:tcPr>
          <w:p w:rsidR="00BE03DF" w:rsidRDefault="005634EB">
            <w:r>
              <w:t>Afet ile İlgili Temel Kavramlar</w:t>
            </w:r>
          </w:p>
          <w:p w:rsidR="00BE03DF" w:rsidRDefault="005634EB">
            <w:r>
              <w:t>Afetler</w:t>
            </w:r>
          </w:p>
        </w:tc>
      </w:tr>
      <w:tr w:rsidR="00BE03DF" w:rsidTr="00086CE7">
        <w:tc>
          <w:tcPr>
            <w:tcW w:w="2900" w:type="dxa"/>
          </w:tcPr>
          <w:p w:rsidR="00BE03DF" w:rsidRDefault="005634EB">
            <w:r>
              <w:rPr>
                <w:b/>
              </w:rPr>
              <w:t>Öğrenme Çıktıları</w:t>
            </w:r>
          </w:p>
        </w:tc>
        <w:tc>
          <w:tcPr>
            <w:tcW w:w="6700" w:type="dxa"/>
            <w:gridSpan w:val="3"/>
          </w:tcPr>
          <w:p w:rsidR="00BE03DF" w:rsidRDefault="005634EB">
            <w:r>
              <w:t>AB.1.1.1. Afet ile ilgili temel kavramlar hakkında bilgi toplayabilme</w:t>
            </w:r>
          </w:p>
          <w:p w:rsidR="00BE03DF" w:rsidRDefault="005634EB">
            <w:r>
              <w:t>AB.1.1.2. Afetlere neden olabilecek doğa ve insan kaynaklı olayları sınıflandırabilme</w:t>
            </w:r>
          </w:p>
        </w:tc>
      </w:tr>
      <w:tr w:rsidR="00BE03DF" w:rsidTr="00086CE7">
        <w:tc>
          <w:tcPr>
            <w:tcW w:w="2900" w:type="dxa"/>
          </w:tcPr>
          <w:p w:rsidR="00BE03DF" w:rsidRDefault="005634EB">
            <w:r>
              <w:rPr>
                <w:b/>
              </w:rPr>
              <w:t>Kavramsal Beceriler</w:t>
            </w:r>
          </w:p>
        </w:tc>
        <w:tc>
          <w:tcPr>
            <w:tcW w:w="6700" w:type="dxa"/>
            <w:gridSpan w:val="3"/>
          </w:tcPr>
          <w:p w:rsidR="00BE03DF" w:rsidRDefault="005634EB">
            <w:r>
              <w:t>KB2.5. Sınıflandırma</w:t>
            </w:r>
          </w:p>
          <w:p w:rsidR="00BE03DF" w:rsidRDefault="005634EB">
            <w:r>
              <w:t>KB2.6. Bilgi Toplama</w:t>
            </w:r>
          </w:p>
          <w:p w:rsidR="00BE03DF" w:rsidRDefault="005634EB">
            <w:r>
              <w:t>KB2.14. Yorumlama</w:t>
            </w:r>
          </w:p>
        </w:tc>
      </w:tr>
      <w:tr w:rsidR="00BE03DF" w:rsidTr="00086CE7">
        <w:tc>
          <w:tcPr>
            <w:tcW w:w="2900" w:type="dxa"/>
          </w:tcPr>
          <w:p w:rsidR="00BE03DF" w:rsidRDefault="005634EB">
            <w:r>
              <w:rPr>
                <w:b/>
              </w:rPr>
              <w:t>Eğilimler</w:t>
            </w:r>
          </w:p>
        </w:tc>
        <w:tc>
          <w:tcPr>
            <w:tcW w:w="6700" w:type="dxa"/>
            <w:gridSpan w:val="3"/>
          </w:tcPr>
          <w:p w:rsidR="00BE03DF" w:rsidRDefault="005634EB">
            <w:r>
              <w:t>E1.1. Merak</w:t>
            </w:r>
          </w:p>
          <w:p w:rsidR="00BE03DF" w:rsidRDefault="005634EB">
            <w:r>
              <w:t>E2.2. Sorumluluk</w:t>
            </w:r>
          </w:p>
          <w:p w:rsidR="00BE03DF" w:rsidRDefault="005634EB">
            <w:r>
              <w:t>E2.5. Oyunseverlik</w:t>
            </w:r>
          </w:p>
          <w:p w:rsidR="00BE03DF" w:rsidRDefault="005634EB">
            <w:r>
              <w:t>E3.3. Yaratıcılık</w:t>
            </w:r>
          </w:p>
        </w:tc>
      </w:tr>
      <w:tr w:rsidR="00BE03DF" w:rsidTr="00086CE7">
        <w:tc>
          <w:tcPr>
            <w:tcW w:w="9600" w:type="dxa"/>
            <w:gridSpan w:val="4"/>
          </w:tcPr>
          <w:p w:rsidR="00BE03DF" w:rsidRDefault="005634EB">
            <w:r>
              <w:rPr>
                <w:b/>
                <w:sz w:val="22"/>
              </w:rPr>
              <w:t>EYLÜL AYI PROGRAMLAR ARASI BİLEŞENLER</w:t>
            </w:r>
          </w:p>
        </w:tc>
      </w:tr>
      <w:tr w:rsidR="00BE03DF" w:rsidTr="00086CE7">
        <w:tc>
          <w:tcPr>
            <w:tcW w:w="2900" w:type="dxa"/>
          </w:tcPr>
          <w:p w:rsidR="00BE03DF" w:rsidRDefault="005634EB">
            <w:r>
              <w:rPr>
                <w:b/>
              </w:rPr>
              <w:t>Sosyal-Duygusal Öğrenme Becerileri</w:t>
            </w:r>
          </w:p>
        </w:tc>
        <w:tc>
          <w:tcPr>
            <w:tcW w:w="6700" w:type="dxa"/>
            <w:gridSpan w:val="3"/>
          </w:tcPr>
          <w:p w:rsidR="00BE03DF" w:rsidRDefault="005634EB">
            <w:r>
              <w:t>SDB2.1. İletişim</w:t>
            </w:r>
          </w:p>
          <w:p w:rsidR="00BE03DF" w:rsidRDefault="005634EB">
            <w:r>
              <w:t>SDB2.2. İş Birliği</w:t>
            </w:r>
          </w:p>
          <w:p w:rsidR="00BE03DF" w:rsidRDefault="005634EB">
            <w:r>
              <w:t xml:space="preserve">SDB3.3. </w:t>
            </w:r>
            <w:r>
              <w:t>Sorumlu Karar Verme</w:t>
            </w:r>
          </w:p>
        </w:tc>
      </w:tr>
      <w:tr w:rsidR="00BE03DF" w:rsidTr="00086CE7">
        <w:tc>
          <w:tcPr>
            <w:tcW w:w="2900" w:type="dxa"/>
          </w:tcPr>
          <w:p w:rsidR="00BE03DF" w:rsidRDefault="005634EB">
            <w:r>
              <w:rPr>
                <w:b/>
              </w:rPr>
              <w:t>Değerler</w:t>
            </w:r>
          </w:p>
        </w:tc>
        <w:tc>
          <w:tcPr>
            <w:tcW w:w="6700" w:type="dxa"/>
            <w:gridSpan w:val="3"/>
          </w:tcPr>
          <w:p w:rsidR="00BE03DF" w:rsidRDefault="005634EB">
            <w:r>
              <w:t>D3. Çalışkanlık</w:t>
            </w:r>
          </w:p>
          <w:p w:rsidR="00BE03DF" w:rsidRDefault="005634EB">
            <w:r>
              <w:t>D5. Duyarlılık</w:t>
            </w:r>
          </w:p>
          <w:p w:rsidR="00BE03DF" w:rsidRDefault="005634EB">
            <w:r>
              <w:t>D6. Dürüstlük</w:t>
            </w:r>
          </w:p>
          <w:p w:rsidR="00BE03DF" w:rsidRDefault="005634EB">
            <w:r>
              <w:t>D12. Sabır</w:t>
            </w:r>
          </w:p>
          <w:p w:rsidR="00BE03DF" w:rsidRDefault="005634EB">
            <w:r>
              <w:t>D15. Sevgi</w:t>
            </w:r>
          </w:p>
          <w:p w:rsidR="00BE03DF" w:rsidRDefault="005634EB">
            <w:r>
              <w:t>D16. Sorumluluk</w:t>
            </w:r>
          </w:p>
          <w:p w:rsidR="00BE03DF" w:rsidRDefault="005634EB">
            <w:r>
              <w:t>D19. Vatanseverlik</w:t>
            </w:r>
          </w:p>
          <w:p w:rsidR="00BE03DF" w:rsidRDefault="005634EB">
            <w:r>
              <w:t>D20. Yardımseverlik</w:t>
            </w:r>
          </w:p>
        </w:tc>
      </w:tr>
      <w:tr w:rsidR="00BE03DF" w:rsidTr="00086CE7">
        <w:tc>
          <w:tcPr>
            <w:tcW w:w="2900" w:type="dxa"/>
          </w:tcPr>
          <w:p w:rsidR="00BE03DF" w:rsidRDefault="005634EB">
            <w:r>
              <w:rPr>
                <w:b/>
              </w:rPr>
              <w:t>Okuryazarlık Becerileri</w:t>
            </w:r>
          </w:p>
        </w:tc>
        <w:tc>
          <w:tcPr>
            <w:tcW w:w="6700" w:type="dxa"/>
            <w:gridSpan w:val="3"/>
          </w:tcPr>
          <w:p w:rsidR="00BE03DF" w:rsidRDefault="005634EB">
            <w:r>
              <w:t>OB1. Bilgi Okuryazarlığı</w:t>
            </w:r>
          </w:p>
          <w:p w:rsidR="00BE03DF" w:rsidRDefault="005634EB">
            <w:r>
              <w:t>OB2. Dijital Okuryazarlık</w:t>
            </w:r>
          </w:p>
          <w:p w:rsidR="00BE03DF" w:rsidRDefault="005634EB">
            <w:r>
              <w:t>OB4. Görsel Okuryazarlık</w:t>
            </w:r>
          </w:p>
          <w:p w:rsidR="00BE03DF" w:rsidRDefault="005634EB">
            <w:r>
              <w:t>OB6. Vatandaşlık Okuryazarlığı</w:t>
            </w:r>
          </w:p>
          <w:p w:rsidR="00BE03DF" w:rsidRDefault="005634EB">
            <w:r>
              <w:t>OB8. Sürdürülebilirlik Okuryazarlığı</w:t>
            </w:r>
          </w:p>
        </w:tc>
      </w:tr>
      <w:tr w:rsidR="00BE03DF" w:rsidTr="00086CE7">
        <w:tc>
          <w:tcPr>
            <w:tcW w:w="2900" w:type="dxa"/>
          </w:tcPr>
          <w:p w:rsidR="00BE03DF" w:rsidRDefault="005634EB">
            <w:r>
              <w:rPr>
                <w:b/>
              </w:rPr>
              <w:t>Disiplinler Arası İlişkiler</w:t>
            </w:r>
          </w:p>
        </w:tc>
        <w:tc>
          <w:tcPr>
            <w:tcW w:w="6700" w:type="dxa"/>
            <w:gridSpan w:val="3"/>
          </w:tcPr>
          <w:p w:rsidR="00BE03DF" w:rsidRDefault="005634EB">
            <w:r>
              <w:t>Sosyal Bilgiler, Fen Bilimleri</w:t>
            </w:r>
          </w:p>
        </w:tc>
      </w:tr>
      <w:tr w:rsidR="00BE03DF" w:rsidTr="00086CE7">
        <w:tc>
          <w:tcPr>
            <w:tcW w:w="2900" w:type="dxa"/>
          </w:tcPr>
          <w:p w:rsidR="00BE03DF" w:rsidRDefault="005634EB">
            <w:r>
              <w:rPr>
                <w:b/>
              </w:rPr>
              <w:t>Beceriler Arası İlişkiler</w:t>
            </w:r>
          </w:p>
        </w:tc>
        <w:tc>
          <w:tcPr>
            <w:tcW w:w="6700" w:type="dxa"/>
            <w:gridSpan w:val="3"/>
          </w:tcPr>
          <w:p w:rsidR="00BE03DF" w:rsidRDefault="005634EB">
            <w:r>
              <w:t>KB2.17. Değerlendirme</w:t>
            </w:r>
          </w:p>
        </w:tc>
      </w:tr>
      <w:tr w:rsidR="00BE03DF" w:rsidTr="00086CE7">
        <w:tc>
          <w:tcPr>
            <w:tcW w:w="2900" w:type="dxa"/>
          </w:tcPr>
          <w:p w:rsidR="00BE03DF" w:rsidRDefault="005634EB">
            <w:r>
              <w:rPr>
                <w:b/>
              </w:rPr>
              <w:t>Anahtar Kavramlar</w:t>
            </w:r>
          </w:p>
        </w:tc>
        <w:tc>
          <w:tcPr>
            <w:tcW w:w="6700" w:type="dxa"/>
            <w:gridSpan w:val="3"/>
          </w:tcPr>
          <w:p w:rsidR="00BE03DF" w:rsidRDefault="005634EB">
            <w:r>
              <w:t xml:space="preserve">acil durum, Afet ve Acil Durum Yönetimi Başkanlığı (AFAD), </w:t>
            </w:r>
            <w:r>
              <w:t>afet, afet bilinci, afet türleri, afet yönetimi, bireysel sorumluluk, çevresel farkındalık, doğa kaynaklı olay, Gök Vatan (Ulusal Hava Sahası), hazırlık, insan kaynaklı olay, Mavi Vatan, müdahale, risk, tehlike, toplumsal dayanışma, Ulusal Medikal Kurtarma</w:t>
            </w:r>
            <w:r>
              <w:t xml:space="preserve"> Ekibi (UMKE), yeşil beceriler ve ikiz dönüşüm, Yeşil Vatan, zarar azaltma</w:t>
            </w:r>
          </w:p>
        </w:tc>
      </w:tr>
      <w:tr w:rsidR="00BE03DF" w:rsidTr="00086CE7">
        <w:tc>
          <w:tcPr>
            <w:tcW w:w="2900" w:type="dxa"/>
          </w:tcPr>
          <w:p w:rsidR="00BE03DF" w:rsidRDefault="005634EB">
            <w:r>
              <w:rPr>
                <w:b/>
              </w:rPr>
              <w:t>Öğrenme Kanıtları</w:t>
            </w:r>
          </w:p>
        </w:tc>
        <w:tc>
          <w:tcPr>
            <w:tcW w:w="6700" w:type="dxa"/>
            <w:gridSpan w:val="3"/>
          </w:tcPr>
          <w:p w:rsidR="00BE03DF" w:rsidRDefault="005634EB">
            <w:r>
              <w:t>Öğrenme çıktılarının değerlendirilmesinde akran değerlendirme formu, öz değerlendirme formu, kontrol listesi, dereceli puanlama anahtarı, performans görevi vb. öl</w:t>
            </w:r>
            <w:r>
              <w:t>çme ve değerlendirme araçları kullanılabilir. Performans görevi kapsamında bireysel veya grup hâlinde hazırlanan afet ve afet yönetimini tanıtan bir afiş, pano veya bilgi görseli gibi ürünler dereceli puanlama anahtarı ile değerlendirilebilir.</w:t>
            </w:r>
          </w:p>
        </w:tc>
      </w:tr>
    </w:tbl>
    <w:p w:rsidR="00BE03DF" w:rsidRDefault="00BE03DF"/>
    <w:p w:rsidR="00BE03DF" w:rsidRDefault="005634EB">
      <w:pPr>
        <w:keepNext/>
        <w:spacing w:after="120" w:line="360" w:lineRule="auto"/>
        <w:jc w:val="both"/>
      </w:pPr>
      <w:r>
        <w:rPr>
          <w:b/>
          <w:sz w:val="22"/>
        </w:rPr>
        <w:t>Afet ve Af</w:t>
      </w:r>
      <w:r>
        <w:rPr>
          <w:b/>
          <w:sz w:val="22"/>
        </w:rPr>
        <w:t>et Bilinci Ünitesi İşleniş Süreci</w:t>
      </w:r>
    </w:p>
    <w:p w:rsidR="00BE03DF" w:rsidRDefault="005634EB">
      <w:pPr>
        <w:spacing w:after="240" w:line="360" w:lineRule="auto"/>
        <w:ind w:firstLine="500"/>
        <w:jc w:val="both"/>
      </w:pPr>
      <w:r>
        <w:t>Eylül ayında ortaokul seçmeli Afet Bilinci I dersinde, Türkiye Yüzyılı Maarif Modeli ilkeleri doğrultusunda “Afet ve Afet Bilinci” ünitesi üzerinde çalışıldı. Bu ünitede öğrencilerin tehlike, risk, afet gibi temel kavramla</w:t>
      </w:r>
      <w:r>
        <w:t xml:space="preserve">rı bilimsel kaynaklardan araştırarak doğru bir afet terminolojisi oluşturmaları amaçlandı. Öğrencilerin doğa ve insan kaynaklı </w:t>
      </w:r>
      <w:r>
        <w:lastRenderedPageBreak/>
        <w:t>olayları oluşum nedenlerine göre sınıflandırmaları, afetlerin toplumsal etkilerini analiz etmeleri ve afet yönetiminin sadece müd</w:t>
      </w:r>
      <w:r>
        <w:t>ahale aşamasından ibaret olmadığını kavramaları hedeflendi. Ünite genelinde “Yeşil Vatan” bilinci ve afetlere karşı hazırlıklı olmanın bir vatandaşlık görevi olduğu vurgulanarak kalıcı bir güvenli yaşam kültürü oluşturulması esastır. Öğrencilerden günlük y</w:t>
      </w:r>
      <w:r>
        <w:t>aşantılarında karşılaştıkları veya karşılaşabilecekleri afetlerle ilgili örnekler vermeleri istendi. Öğrencilere “Yakın çevrenizde veya yakın zamanda doğa veya insan kaynaklı hangi afet türleri meydana geldi?” sorusu yöneltildi. Öğrencilere “Afetlere karşı</w:t>
      </w:r>
      <w:r>
        <w:t xml:space="preserve"> bilinçli hareket etmek için neler yapıyorsunuz? sorusu yöneltildi. Böylece AB.1.1.1 ve AB.1.1.2 öğrenme çıktılarına ulaşılmasına yönelik öğrenme yaşantıları gerçekleştirildi.</w:t>
      </w:r>
    </w:p>
    <w:p w:rsidR="00BE03DF" w:rsidRDefault="005634EB">
      <w:pPr>
        <w:keepNext/>
        <w:spacing w:after="120" w:line="360" w:lineRule="auto"/>
        <w:jc w:val="both"/>
      </w:pPr>
      <w:r>
        <w:rPr>
          <w:b/>
          <w:sz w:val="22"/>
        </w:rPr>
        <w:t>Araştırma Ödevleri ve Görevleri</w:t>
      </w:r>
    </w:p>
    <w:p w:rsidR="00BE03DF" w:rsidRDefault="005634EB">
      <w:pPr>
        <w:spacing w:after="240" w:line="360" w:lineRule="auto"/>
        <w:ind w:firstLine="500"/>
        <w:jc w:val="both"/>
      </w:pPr>
      <w:r>
        <w:t xml:space="preserve">Öğrenme çıktılarının değerlendirilmesinde akran </w:t>
      </w:r>
      <w:r>
        <w:t>değerlendirme formu, öz değerlendirme formu, kontrol listesi, dereceli puanlama anahtarı, performans görevi vb. ölçme ve değerlendirme araçları kullanıldı. Performans görevi kapsamında bireysel veya grup hâlinde hazırlanan afet ve afet yönetimini tanıtan b</w:t>
      </w:r>
      <w:r>
        <w:t>ir afiş, pano veya bilgi görseli gibi ürünler dereceli puanlama anahtarı ile değerlendirildi. Öğrencilere tehlike, risk, afet ve afet yönetimi vb. kavramlara ilişkin yazılı ve görsel örnek ler sunularak konuya ilişkin merak uyandırıldı (OB1, OB4, E1.1). Öğ</w:t>
      </w:r>
      <w:r>
        <w:t>rencilerden performans görevi kapsamında bireysel veya grup hâlinde afet ve afet yönetimini tanıtan bir afiş, pano veya bilgi görseli hazırlayarak doğruladığı bilgileri kaydetmeleri sağlandı (SDB2.2). Hazırlanan ürünler dereceli puanlama anahtarı ile değer</w:t>
      </w:r>
      <w:r>
        <w:t>lendirildi. Öğrencilere afetlere neden olabilecek doğa kaynaklı olaylar (deprem, sel, heyelan, çığ, fırtına, kuraklık, zirai don vb.) ve insan kaynaklı olaylar (yangın, ulaşım kazaları, endüstriyel kazalar, nükleer, biyolojik, kimyasal kazalar vb.) ile ilg</w:t>
      </w:r>
      <w:r>
        <w:t>ili yazılı ve görsel örnekler sunuldu (OB1, OB4).</w:t>
      </w:r>
    </w:p>
    <w:p w:rsidR="00BE03DF" w:rsidRDefault="005634EB">
      <w:pPr>
        <w:keepNext/>
        <w:spacing w:after="120" w:line="360" w:lineRule="auto"/>
        <w:jc w:val="both"/>
      </w:pPr>
      <w:r>
        <w:rPr>
          <w:b/>
          <w:sz w:val="22"/>
        </w:rPr>
        <w:t>Gözlem ve Ölçme Değerlendirme</w:t>
      </w:r>
    </w:p>
    <w:p w:rsidR="00BE03DF" w:rsidRDefault="005634EB">
      <w:pPr>
        <w:spacing w:after="240" w:line="360" w:lineRule="auto"/>
        <w:ind w:firstLine="500"/>
        <w:jc w:val="both"/>
      </w:pPr>
      <w:r>
        <w:t>Öğrencilerden “Doğa olayı ve afet arasında nasıl bir ilişki vardır?”, “Afete neden olabilecek olaylar nelerdir?” sorularına cevap vermeleri istendi. Öğrencilerden “Afet yönetim</w:t>
      </w:r>
      <w:r>
        <w:t>i sadece afet gerçekleştikten sonra yapılan yardımlardan ibaret değildir.” sözünden ne anladıklarını açıklamaları istendi. Süreç boyunca öğrencilerin merak (E1.1), sorumluluk (E2.2) ve oyunseverlik (E2.5) eğilimleri ile iletişim (SDB2.1), iş birliği (SDB2.</w:t>
      </w:r>
      <w:r>
        <w:t>2) ve sorumlu karar verme (SDB3.3) becerileri gözlem formları ve kontrol listeleriyle izlendi. Ölçme sonuçları öğrencilerle paylaşılarak öz düzenleme becerilerinin gelişimi desteklendi.</w:t>
      </w:r>
    </w:p>
    <w:p w:rsidR="00BE03DF" w:rsidRDefault="005634EB">
      <w:pPr>
        <w:keepNext/>
        <w:spacing w:after="120" w:line="360" w:lineRule="auto"/>
        <w:jc w:val="both"/>
      </w:pPr>
      <w:r>
        <w:rPr>
          <w:b/>
          <w:sz w:val="22"/>
        </w:rPr>
        <w:t>Zenginleştirme Çalışmaları</w:t>
      </w:r>
    </w:p>
    <w:p w:rsidR="00BE03DF" w:rsidRDefault="005634EB">
      <w:pPr>
        <w:spacing w:after="240" w:line="360" w:lineRule="auto"/>
        <w:ind w:firstLine="500"/>
        <w:jc w:val="both"/>
      </w:pPr>
      <w:r>
        <w:t>Öğrencilerden seçtikleri afet türüne yöneli</w:t>
      </w:r>
      <w:r>
        <w:t>k dijital ortamda “Afet Bilgi Kartları” hazırlama ları istendi. Hazırladıkları kartta afetin adı, afet durumunda başvurulabilecek kurum, kurumun iletişim bilgileri (telefon, web sitesi vb.) ve afet öncesi, sırası ve sonrasında alın ması gereken önlemler ye</w:t>
      </w:r>
      <w:r>
        <w:t>r aldı. Öğrencilerden doğa ve insan kaynaklı olayları görselleştirmeye yönelik dijital kavram haritası hazırlamaları, ayrıca dijital hikâye araçlarını kullanarak afet bilincinin afet yönetimin deki rolünü vurgulayan “Kamu Spotu Senaryosu” oluşturmaları ist</w:t>
      </w:r>
      <w:r>
        <w:t>endi.</w:t>
      </w:r>
    </w:p>
    <w:p w:rsidR="00BE03DF" w:rsidRDefault="005634EB">
      <w:pPr>
        <w:keepNext/>
        <w:spacing w:after="120" w:line="360" w:lineRule="auto"/>
        <w:jc w:val="both"/>
      </w:pPr>
      <w:r>
        <w:rPr>
          <w:b/>
          <w:sz w:val="22"/>
        </w:rPr>
        <w:t>Destekleme Çalışmaları</w:t>
      </w:r>
    </w:p>
    <w:p w:rsidR="00BE03DF" w:rsidRDefault="005634EB">
      <w:pPr>
        <w:spacing w:after="240" w:line="360" w:lineRule="auto"/>
        <w:ind w:firstLine="500"/>
        <w:jc w:val="both"/>
      </w:pPr>
      <w:r>
        <w:t>Öğrencilerden afet ve acil durumlarda başvurulabilecek kurumların (AFAD, UMKE, Türk Kızılay vb.) logo ve isimlerini eşleştiren kartlar hazırlamaları istendi. Öğrencilerden üzerinde afete neden olan olayların adları (yangın, dep</w:t>
      </w:r>
      <w:r>
        <w:t xml:space="preserve">rem, sel vb.) ve kısa tanımlarının yer aldığı eşleştirme kartları hazırlamaları istendi. Hazırladıkları kartları, bu </w:t>
      </w:r>
      <w:r>
        <w:lastRenderedPageBreak/>
        <w:t>olayları “doğa kaynaklı” veya “insan kaynaklı” şeklinde sınıflandırarak etiketlemeleri sağla nabildi. Öğrencilerden afet bilinci ile ilgili</w:t>
      </w:r>
      <w:r>
        <w:t xml:space="preserve"> bir resim çizmeleri istendi.</w:t>
      </w:r>
    </w:p>
    <w:p w:rsidR="00BE03DF" w:rsidRDefault="005634EB">
      <w:pPr>
        <w:keepNext/>
        <w:spacing w:after="120" w:line="360" w:lineRule="auto"/>
        <w:jc w:val="both"/>
      </w:pPr>
      <w:r>
        <w:rPr>
          <w:b/>
          <w:sz w:val="22"/>
        </w:rPr>
        <w:t>Eylül Ayı Genel Değerlendirme</w:t>
      </w:r>
    </w:p>
    <w:p w:rsidR="00BE03DF" w:rsidRDefault="005634EB">
      <w:pPr>
        <w:spacing w:after="80" w:line="360" w:lineRule="auto"/>
        <w:ind w:firstLine="500"/>
        <w:jc w:val="both"/>
      </w:pPr>
      <w:r>
        <w:t xml:space="preserve">Eylül ayında ortaokul seçmeli Afet Bilinci I dersinde “Afet ve Afet Bilinci” ünitesi çerçevesinde 2 öğrenme çıktısı (AB.1.1.1 ve AB.1.1.2) ele alındı. Etkinliklerde sınıflandırma (KB2.5), bilgi </w:t>
      </w:r>
      <w:r>
        <w:t>toplama (KB2.6) ve yorumlama (KB2.14) kavramsal becerileri işe koşuldu. Öğrencilerin merak (E1.1), sorumluluk (E2.2), oyunseverlik (E2.5) ve yaratıcılık (E3.3) eğilimlerini destekleyen öğrenme ortamları oluşturuldu.</w:t>
      </w:r>
    </w:p>
    <w:p w:rsidR="00BE03DF" w:rsidRDefault="005634EB">
      <w:pPr>
        <w:spacing w:after="240" w:line="360" w:lineRule="auto"/>
        <w:ind w:firstLine="500"/>
        <w:jc w:val="both"/>
      </w:pPr>
      <w:r>
        <w:t>Programlar arası bileşenler kapsamında i</w:t>
      </w:r>
      <w:r>
        <w:t>letişim (SDB2.1), iş birliği (SDB2.2) ve sorumlu karar verme (SDB3.3) becerileri geliştirildi. Etkinliklerde çalışkanlık (D3), duyarlılık (D5), dürüstlük (D6), sabır (D12) ve sevgi (D15) değerleri ön plana çıkarıldı. Bilgi okuryazarlığı (OB1), dijital okur</w:t>
      </w:r>
      <w:r>
        <w:t>yazarlık (OB2), görsel okuryazarlık (OB4) ve vatandaşlık okuryazarlığı (OB6) becerilerinin gelişimi desteklendi. Sosyal Bilgiler, Fen Bilimleri ile disiplinler arası ilişkiler kurularak konunun farklı boyutları ele alındı. Ön değerlendirme sonuçları dikkat</w:t>
      </w:r>
      <w:r>
        <w:t>e alınarak etkinlikler öğrencilerin hazırbulunuşluk düzeylerine göre farklılaştırıldı. Gelecek ay AB.1.1.3, AB.1.2.1 ve AB.1.2.2 öğrenme çıktılarıyla sürecin devam etmesi planlandı. Genel olarak eylül ayı öğretim süreci programda öngörülen öğrenme çıktılar</w:t>
      </w:r>
      <w:r>
        <w:t>ı doğrultusunda tamamlandı.</w:t>
      </w:r>
    </w:p>
    <w:p w:rsidR="00BE03DF" w:rsidRDefault="00BE03DF"/>
    <w:tbl>
      <w:tblPr>
        <w:tblW w:w="0" w:type="auto"/>
        <w:tblBorders>
          <w:top w:val="nil"/>
          <w:left w:val="nil"/>
          <w:bottom w:val="nil"/>
          <w:right w:val="nil"/>
          <w:insideH w:val="nil"/>
          <w:insideV w:val="nil"/>
        </w:tblBorders>
        <w:tblCellMar>
          <w:top w:w="80" w:type="dxa"/>
          <w:left w:w="80" w:type="dxa"/>
          <w:bottom w:w="80" w:type="dxa"/>
          <w:right w:w="80" w:type="dxa"/>
        </w:tblCellMar>
        <w:tblLook w:val="04A0" w:firstRow="1" w:lastRow="0" w:firstColumn="1" w:lastColumn="0" w:noHBand="0" w:noVBand="1"/>
      </w:tblPr>
      <w:tblGrid>
        <w:gridCol w:w="4800"/>
        <w:gridCol w:w="4800"/>
      </w:tblGrid>
      <w:tr w:rsidR="00BE03DF">
        <w:tc>
          <w:tcPr>
            <w:tcW w:w="4800" w:type="dxa"/>
            <w:vAlign w:val="center"/>
          </w:tcPr>
          <w:p w:rsidR="00BE03DF" w:rsidRDefault="00BE03DF">
            <w:pPr>
              <w:jc w:val="center"/>
            </w:pPr>
          </w:p>
          <w:p w:rsidR="00BE03DF" w:rsidRDefault="005634EB">
            <w:pPr>
              <w:jc w:val="center"/>
            </w:pPr>
            <w:r>
              <w:rPr>
                <w:sz w:val="22"/>
              </w:rPr>
              <w:t>…………………</w:t>
            </w:r>
          </w:p>
          <w:p w:rsidR="00BE03DF" w:rsidRDefault="005634EB">
            <w:pPr>
              <w:jc w:val="center"/>
            </w:pPr>
            <w:r>
              <w:rPr>
                <w:b/>
                <w:sz w:val="22"/>
              </w:rPr>
              <w:t>Ders Öğretmeni</w:t>
            </w:r>
          </w:p>
        </w:tc>
        <w:tc>
          <w:tcPr>
            <w:tcW w:w="4800" w:type="dxa"/>
            <w:vAlign w:val="center"/>
          </w:tcPr>
          <w:p w:rsidR="00BE03DF" w:rsidRDefault="00086CE7">
            <w:pPr>
              <w:jc w:val="center"/>
            </w:pPr>
            <w:r>
              <w:rPr>
                <w:sz w:val="22"/>
              </w:rPr>
              <w:t>1</w:t>
            </w:r>
            <w:bookmarkStart w:id="0" w:name="_GoBack"/>
            <w:bookmarkEnd w:id="0"/>
            <w:r w:rsidR="005634EB">
              <w:rPr>
                <w:sz w:val="22"/>
              </w:rPr>
              <w:t>.10.2026</w:t>
            </w:r>
          </w:p>
          <w:p w:rsidR="00BE03DF" w:rsidRDefault="005634EB">
            <w:pPr>
              <w:jc w:val="center"/>
            </w:pPr>
            <w:r>
              <w:rPr>
                <w:sz w:val="22"/>
              </w:rPr>
              <w:t>…………………</w:t>
            </w:r>
          </w:p>
          <w:p w:rsidR="00BE03DF" w:rsidRDefault="005634EB">
            <w:pPr>
              <w:jc w:val="center"/>
            </w:pPr>
            <w:r>
              <w:rPr>
                <w:b/>
                <w:sz w:val="22"/>
              </w:rPr>
              <w:t>Okul Müdürü</w:t>
            </w:r>
          </w:p>
        </w:tc>
      </w:tr>
    </w:tbl>
    <w:p w:rsidR="005634EB" w:rsidRDefault="005634EB"/>
    <w:sectPr w:rsidR="005634EB" w:rsidSect="00034616">
      <w:pgSz w:w="11906" w:h="16838"/>
      <w:pgMar w:top="85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86CE7"/>
    <w:rsid w:val="0015074B"/>
    <w:rsid w:val="0029639D"/>
    <w:rsid w:val="00326F90"/>
    <w:rsid w:val="005634EB"/>
    <w:rsid w:val="00AA1D8D"/>
    <w:rsid w:val="00B47730"/>
    <w:rsid w:val="00BE03D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92731E"/>
  <w14:defaultImageDpi w14:val="300"/>
  <w15:docId w15:val="{8C0E312B-F2D4-4CCB-8AFB-BEA40635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0"/>
    </w:pPr>
    <w:rPr>
      <w:rFonts w:ascii="Calibri" w:eastAsia="Calibri" w:hAnsi="Calibri" w:cs="Calibri"/>
      <w:sz w:val="20"/>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265C1-9C92-42EC-BE9E-0F6921AA9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Düzey · Seçmeli Afet Bilinci I Maarif Aylık Raporu — Eylül 2026-2027</dc:title>
  <dc:subject/>
  <dc:creator>evrakburada</dc:creator>
  <cp:keywords/>
  <dc:description>Kaynak: tymm.meb.gov.tr öğretim programı</dc:description>
  <cp:lastModifiedBy>HP</cp:lastModifiedBy>
  <cp:revision>3</cp:revision>
  <dcterms:created xsi:type="dcterms:W3CDTF">2013-12-23T23:15:00Z</dcterms:created>
  <dcterms:modified xsi:type="dcterms:W3CDTF">2026-10-17T11:55:00Z</dcterms:modified>
  <cp:category/>
</cp:coreProperties>
</file>