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TÜRKİYE YÜZYILI MAARİF MODELİ</w:t>
        <w:br/>
        <w:t>MEDYA OKURYAZARLIĞI I DERSİ</w:t>
        <w:br/>
        <w:t>EKIM 2026 AYLIK DERS RAPORU</w:t>
      </w:r>
    </w:p>
    <w:tbl>
      <w:tblPr>
        <w:tblStyle w:val="TableGrid"/>
        <w:tblW w:type="auto" w:w="0"/>
        <w:tblLook w:firstColumn="1" w:firstRow="1" w:lastColumn="0" w:lastRow="0" w:noHBand="0" w:noVBand="1" w:val="04A0"/>
      </w:tblPr>
      <w:tblGrid>
        <w:gridCol w:w="2608"/>
        <w:gridCol w:w="6803"/>
      </w:tblGrid>
      <w:tr>
        <w:tc>
          <w:tcPr>
            <w:tcW w:type="dxa" w:w="2608"/>
          </w:tcPr>
          <w:p>
            <w:r>
              <w:rPr>
                <w:b/>
              </w:rPr>
              <w:t>Eğitim Öğretim Yılı</w:t>
            </w:r>
          </w:p>
        </w:tc>
        <w:tc>
          <w:tcPr>
            <w:tcW w:type="dxa" w:w="6803"/>
          </w:tcPr>
          <w:p>
            <w:r>
              <w:t>2026–2027</w:t>
            </w:r>
          </w:p>
        </w:tc>
      </w:tr>
      <w:tr>
        <w:tc>
          <w:tcPr>
            <w:tcW w:type="dxa" w:w="2608"/>
          </w:tcPr>
          <w:p>
            <w:r>
              <w:rPr>
                <w:b/>
              </w:rPr>
              <w:t>Ders / Süre</w:t>
            </w:r>
          </w:p>
        </w:tc>
        <w:tc>
          <w:tcPr>
            <w:tcW w:type="dxa" w:w="6803"/>
          </w:tcPr>
          <w:p>
            <w:r>
              <w:t>Medya Okuryazarlığı I / Haftada 2 ders saati</w:t>
            </w:r>
          </w:p>
        </w:tc>
      </w:tr>
      <w:tr>
        <w:tc>
          <w:tcPr>
            <w:tcW w:type="dxa" w:w="2608"/>
          </w:tcPr>
          <w:p>
            <w:r>
              <w:rPr>
                <w:b/>
              </w:rPr>
              <w:t>Ay / Rapor No</w:t>
            </w:r>
          </w:p>
        </w:tc>
        <w:tc>
          <w:tcPr>
            <w:tcW w:type="dxa" w:w="6803"/>
          </w:tcPr>
          <w:p>
            <w:r>
              <w:t>Ekim 2026 / 2</w:t>
            </w:r>
          </w:p>
        </w:tc>
      </w:tr>
      <w:tr>
        <w:tc>
          <w:tcPr>
            <w:tcW w:type="dxa" w:w="2608"/>
          </w:tcPr>
          <w:p>
            <w:r>
              <w:rPr>
                <w:b/>
              </w:rPr>
              <w:t>Ünite</w:t>
            </w:r>
          </w:p>
        </w:tc>
        <w:tc>
          <w:tcPr>
            <w:tcW w:type="dxa" w:w="6803"/>
          </w:tcPr>
          <w:p>
            <w:r>
              <w:t>Medya ve Medya Okuryazarlığı</w:t>
            </w:r>
          </w:p>
        </w:tc>
      </w:tr>
      <w:tr>
        <w:tc>
          <w:tcPr>
            <w:tcW w:type="dxa" w:w="2608"/>
          </w:tcPr>
          <w:p>
            <w:r>
              <w:rPr>
                <w:b/>
              </w:rPr>
              <w:t>Öğrenme Çıktısı</w:t>
            </w:r>
          </w:p>
        </w:tc>
        <w:tc>
          <w:tcPr>
            <w:tcW w:type="dxa" w:w="6803"/>
          </w:tcPr>
          <w:p>
            <w:r>
              <w:t>MOY.1.2 — Medyanın birey ve toplum üzerindeki olumlu ve olumsuz etkileri</w:t>
            </w:r>
          </w:p>
        </w:tc>
      </w:tr>
    </w:tbl>
    <w:p>
      <w:pPr>
        <w:spacing w:before="140" w:after="60"/>
      </w:pPr>
      <w:r>
        <w:rPr>
          <w:b/>
          <w:color w:val="184869"/>
          <w:sz w:val="20"/>
        </w:rPr>
        <w:t>1. ÖĞRENME ÇIKTILARI, BECERİLER VE EĞİLİMLER</w:t>
      </w:r>
    </w:p>
    <w:tbl>
      <w:tblPr>
        <w:tblStyle w:val="TableGrid"/>
        <w:tblW w:type="auto" w:w="0"/>
        <w:tblLook w:firstColumn="1" w:firstRow="1" w:lastColumn="0" w:lastRow="0" w:noHBand="0" w:noVBand="1" w:val="04A0"/>
      </w:tblPr>
      <w:tblGrid>
        <w:gridCol w:w="2608"/>
        <w:gridCol w:w="6803"/>
      </w:tblGrid>
      <w:tr>
        <w:tc>
          <w:tcPr>
            <w:tcW w:type="dxa" w:w="2608"/>
          </w:tcPr>
          <w:p>
            <w:r>
              <w:rPr>
                <w:b/>
              </w:rPr>
              <w:t>İçerik Çerçevesi</w:t>
            </w:r>
          </w:p>
        </w:tc>
        <w:tc>
          <w:tcPr>
            <w:tcW w:type="dxa" w:w="6803"/>
          </w:tcPr>
          <w:p>
            <w:r>
              <w:t>Medyanın birey ve toplum üzerindeki olumlu ve olumsuz etkileri</w:t>
            </w:r>
          </w:p>
        </w:tc>
      </w:tr>
      <w:tr>
        <w:tc>
          <w:tcPr>
            <w:tcW w:type="dxa" w:w="2608"/>
          </w:tcPr>
          <w:p>
            <w:r>
              <w:rPr>
                <w:b/>
              </w:rPr>
              <w:t>Beceri ve Eğilimler</w:t>
            </w:r>
          </w:p>
        </w:tc>
        <w:tc>
          <w:tcPr>
            <w:tcW w:type="dxa" w:w="6803"/>
          </w:tcPr>
          <w:p>
            <w:r>
              <w:t>Eleştirel düşünme; karşılaştırma; çıkarım yapma; merak, seçicilik ve eleştirel bakış</w:t>
            </w:r>
          </w:p>
        </w:tc>
      </w:tr>
      <w:tr>
        <w:tc>
          <w:tcPr>
            <w:tcW w:type="dxa" w:w="2608"/>
          </w:tcPr>
          <w:p>
            <w:r>
              <w:rPr>
                <w:b/>
              </w:rPr>
              <w:t>Programlar Arası Bileşenler</w:t>
            </w:r>
          </w:p>
        </w:tc>
        <w:tc>
          <w:tcPr>
            <w:tcW w:type="dxa" w:w="6803"/>
          </w:tcPr>
          <w:p>
            <w:r>
              <w:t>Sosyal-duygusal öğrenme: iletişim, iş birliği ve öz düzenleme. Değerler: Saygı, sorumluluk, duyarlılık. Okuryazarlık: bilgi, dijital ve medya okuryazarlığı.</w:t>
            </w:r>
          </w:p>
        </w:tc>
      </w:tr>
      <w:tr>
        <w:tc>
          <w:tcPr>
            <w:tcW w:type="dxa" w:w="2608"/>
          </w:tcPr>
          <w:p>
            <w:r>
              <w:rPr>
                <w:b/>
              </w:rPr>
              <w:t>Disiplinler Arası İlişki</w:t>
            </w:r>
          </w:p>
        </w:tc>
        <w:tc>
          <w:tcPr>
            <w:tcW w:type="dxa" w:w="6803"/>
          </w:tcPr>
          <w:p>
            <w:r>
              <w:t>Türkçe, Sosyal Bilgiler, Bilişim Teknolojileri ve Yazılım, Görsel Sanatlar.</w:t>
            </w:r>
          </w:p>
        </w:tc>
      </w:tr>
    </w:tbl>
    <w:p>
      <w:pPr>
        <w:spacing w:before="140" w:after="60"/>
      </w:pPr>
      <w:r>
        <w:rPr>
          <w:b/>
          <w:color w:val="184869"/>
          <w:sz w:val="20"/>
        </w:rPr>
        <w:t>2. ÖĞRENME-ÖĞRETME SÜRECİ</w:t>
      </w:r>
    </w:p>
    <w:p>
      <w:r>
        <w:rPr>
          <w:b w:val="0"/>
        </w:rPr>
        <w:t>Örnek haberler ve günlük yaşam durumları üzerinden medya kullanımının aile, arkadaşlık, toplumsal katılım ve zaman yönetimine etkileri tartışıldı. Öğrencilerin görüşlerini gerekçeleriyle açıklamaları ve örnekler üzerinde birlikte düşünmeleri desteklendi. Derslerde soru-cevap, beyin fırtınası, örnek olay ve küçük grup çalışmaları kullanıldı.</w:t>
      </w:r>
    </w:p>
    <w:p>
      <w:pPr>
        <w:spacing w:before="140" w:after="60"/>
      </w:pPr>
      <w:r>
        <w:rPr>
          <w:b/>
          <w:color w:val="184869"/>
          <w:sz w:val="20"/>
        </w:rPr>
        <w:t>3. ARAŞTIRMA, UYGULAMA VE PERFORMANS GÖREVLERİ</w:t>
      </w:r>
    </w:p>
    <w:p>
      <w:r>
        <w:rPr>
          <w:b w:val="0"/>
        </w:rPr>
        <w:t>Öğrencilere “Olumlu-olumsuz etki karşılaştırma posteri” hazırlamaya yönelik görev verildi. Görev kapsamında uygun örnek seçme, bilgi toplama, bilgiyi değerlendirme ve elde edilen sonuçları açık bir dille sunma aşamaları üzerinde duruldu.</w:t>
      </w:r>
    </w:p>
    <w:p>
      <w:pPr>
        <w:spacing w:before="140" w:after="60"/>
      </w:pPr>
      <w:r>
        <w:rPr>
          <w:b/>
          <w:color w:val="184869"/>
          <w:sz w:val="20"/>
        </w:rPr>
        <w:t>4. ÖĞRENME KANITLARI VE ÖLÇME-DEĞERLENDİRME</w:t>
      </w:r>
    </w:p>
    <w:p>
      <w:r>
        <w:rPr>
          <w:b w:val="0"/>
        </w:rPr>
        <w:t>Açık uçlu sorular, kısa cevaplı yoklamalar, gözlem formu, kontrol listesi ve öğrenci ürünleri kullanılarak süreç odaklı değerlendirme yapıldı. Öğrencilere çalışmalarını geliştirmeleri için açıklayıcı geri bildirim verildi; öz değerlendirme ve akran değerlendirmesine yer verildi.</w:t>
      </w:r>
    </w:p>
    <w:p>
      <w:pPr>
        <w:spacing w:before="140" w:after="60"/>
      </w:pPr>
      <w:r>
        <w:rPr>
          <w:b/>
          <w:color w:val="184869"/>
          <w:sz w:val="20"/>
        </w:rPr>
        <w:t>5. FARKLILAŞTIRMA: ZENGİNLEŞTİRME VE DESTEKLEME</w:t>
      </w:r>
    </w:p>
    <w:p>
      <w:r>
        <w:rPr>
          <w:b w:val="0"/>
        </w:rPr>
        <w:t>Zenginleştirme kapsamında öğrencilerin farklı medya örneklerini karşılaştırmaları ve gerekçeli öneriler üretmeleri sağlandı. Destekleme kapsamında görsel ipuçları, aşamalı yönergeler, örnek ürünler ve eşli çalışmalar kullanıldı. Öğrencilerin hazır bulunuşluk düzeyleri dikkate alındı.</w:t>
      </w:r>
    </w:p>
    <w:p>
      <w:pPr>
        <w:spacing w:before="140" w:after="60"/>
      </w:pPr>
      <w:r>
        <w:rPr>
          <w:b/>
          <w:color w:val="184869"/>
          <w:sz w:val="20"/>
        </w:rPr>
        <w:t>6. AYLIK GENEL DEĞERLENDİRME</w:t>
      </w:r>
    </w:p>
    <w:p>
      <w:r>
        <w:rPr>
          <w:b w:val="0"/>
        </w:rPr>
        <w:t>Ekim 2026 ayında medya ve medya okuryazarlığı kapsamında medyanın birey ve toplum üzerindeki olumlu ve olumsuz etkileri üzerinde duruldu. Öğrencilerin medya içeriklerini bilinçli değerlendirme ve günlük yaşamla ilişkilendirme becerilerinin geliştirilmesi hedeflendi. Kazanımların gerçekleşme düzeyi sınıf içi gözlem ve öğrenci ürünlerine göre ayrıca kontrol edilmelidir.</w:t>
      </w:r>
    </w:p>
    <w:p>
      <w:r>
        <w:rPr>
          <w:b w:val="0"/>
        </w:rPr>
        <w:t>NOT: Bu belge yıllık plan ile güncel program arasındaki farklılık nedeniyle 2026 TYMM öğretim programı esas alınarak hazırlanmış örnek uygulama raporudur. Gerçekleştirilmeyen etkinlikler okulda kullanılmadan önce düzeltilmelidir.</w:t>
      </w:r>
    </w:p>
    <w:p>
      <w:r>
        <w:rPr>
          <w:b w:val="0"/>
        </w:rPr>
        <w:t>Rapor Tarihi: ................................</w:t>
      </w:r>
    </w:p>
    <w:tbl>
      <w:tblPr>
        <w:tblW w:type="auto" w:w="0"/>
        <w:tblLook w:firstColumn="1" w:firstRow="1" w:lastColumn="0" w:lastRow="0" w:noHBand="0" w:noVBand="1" w:val="04A0"/>
      </w:tblPr>
      <w:tblGrid>
        <w:gridCol w:w="4986"/>
        <w:gridCol w:w="4986"/>
      </w:tblGrid>
      <w:tr>
        <w:tc>
          <w:tcPr>
            <w:tcW w:type="dxa" w:w="4986"/>
          </w:tcPr>
          <w:p>
            <w:r>
              <w:t>Ders Öğretmeni</w:t>
              <w:br/>
              <w:t>Adı Soyadı / İmza</w:t>
            </w:r>
          </w:p>
        </w:tc>
        <w:tc>
          <w:tcPr>
            <w:tcW w:type="dxa" w:w="4986"/>
          </w:tcPr>
          <w:p>
            <w:r>
              <w:t>Okul Müdürü</w:t>
              <w:br/>
              <w:t>Adı Soyadı / İmza</w:t>
            </w:r>
          </w:p>
        </w:tc>
      </w:tr>
    </w:tbl>
    <w:sectPr w:rsidR="00FC693F" w:rsidRPr="0006063C" w:rsidSect="00034616">
      <w:pgSz w:w="12240" w:h="15840"/>
      <w:pgMar w:top="935" w:right="1134" w:bottom="87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