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KÜLTÜR VE MEDENİYETİMİZE YÖN VERENLER I DERSİ</w:t>
        <w:br/>
        <w:t>EKİM 2026 AYI TÜRKİYE YÜZYILI MAARİF MODELİ DERS RAPORU</w:t>
      </w:r>
    </w:p>
    <w:p>
      <w:r>
        <w:rPr>
          <w:b/>
        </w:rPr>
        <w:t xml:space="preserve">Eğitim Öğretim Yılı: </w:t>
      </w:r>
      <w:r>
        <w:t xml:space="preserve">2026–2027     </w:t>
      </w:r>
      <w:r>
        <w:rPr>
          <w:b/>
        </w:rPr>
        <w:t xml:space="preserve">Rapor No: </w:t>
      </w:r>
      <w:r>
        <w:t xml:space="preserve">2     </w:t>
      </w:r>
      <w:r>
        <w:rPr>
          <w:b/>
        </w:rPr>
        <w:t xml:space="preserve">Ders Saati: </w:t>
      </w:r>
      <w:r>
        <w:t>Haftada 2 saat</w:t>
      </w:r>
    </w:p>
    <w:p>
      <w:pPr/>
      <w:r>
        <w:rPr>
          <w:b/>
          <w:color w:val="18415F"/>
          <w:sz w:val="20"/>
        </w:rPr>
        <w:t>1. AYLIK ÖĞRENME ALANI, İÇERİK VE ÖĞRENME ÇIKTILARI</w:t>
      </w:r>
    </w:p>
    <w:tbl>
      <w:tblPr>
        <w:tblStyle w:val="TableGrid"/>
        <w:tblW w:type="auto" w:w="0"/>
        <w:tblLook w:firstColumn="1" w:firstRow="1" w:lastColumn="0" w:lastRow="0" w:noHBand="0" w:noVBand="1" w:val="04A0"/>
      </w:tblPr>
      <w:tblGrid>
        <w:gridCol w:w="2268"/>
        <w:gridCol w:w="7087"/>
      </w:tblGrid>
      <w:tr>
        <w:tc>
          <w:tcPr>
            <w:tcW w:type="dxa" w:w="2268"/>
          </w:tcPr>
          <w:p>
            <w:pPr>
              <w:spacing w:after="20"/>
            </w:pPr>
            <w:r>
              <w:rPr>
                <w:sz w:val="16"/>
              </w:rPr>
              <w:t>Öğrenme alanı / tema</w:t>
            </w:r>
          </w:p>
        </w:tc>
        <w:tc>
          <w:tcPr>
            <w:tcW w:type="dxa" w:w="7087"/>
          </w:tcPr>
          <w:p>
            <w:pPr>
              <w:spacing w:after="20"/>
            </w:pPr>
            <w:r>
              <w:rPr>
                <w:sz w:val="16"/>
              </w:rPr>
              <w:t>KÜLTÜR VE MEDENİYET; KÜLTÜR VE MEDENİYETKÜLTÜR VE MEDENİYETKÜLTÜR VE MEDENİYET</w:t>
            </w:r>
          </w:p>
        </w:tc>
      </w:tr>
      <w:tr>
        <w:tc>
          <w:tcPr>
            <w:tcW w:type="dxa" w:w="2268"/>
          </w:tcPr>
          <w:p>
            <w:pPr>
              <w:spacing w:after="20"/>
            </w:pPr>
            <w:r>
              <w:rPr>
                <w:sz w:val="16"/>
              </w:rPr>
              <w:t>İçerik çerçevesi</w:t>
            </w:r>
          </w:p>
        </w:tc>
        <w:tc>
          <w:tcPr>
            <w:tcW w:type="dxa" w:w="7087"/>
          </w:tcPr>
          <w:p>
            <w:pPr>
              <w:spacing w:after="20"/>
            </w:pPr>
            <w:r>
              <w:rPr>
                <w:sz w:val="16"/>
              </w:rPr>
              <w:t>Kültür ve medeniyetin korunması ve sürdürülebilirliği</w:t>
            </w:r>
          </w:p>
        </w:tc>
      </w:tr>
      <w:tr>
        <w:tc>
          <w:tcPr>
            <w:tcW w:type="dxa" w:w="2268"/>
          </w:tcPr>
          <w:p>
            <w:pPr>
              <w:spacing w:after="20"/>
            </w:pPr>
            <w:r>
              <w:rPr>
                <w:sz w:val="16"/>
              </w:rPr>
              <w:t>Öğrenme çıktıları</w:t>
            </w:r>
          </w:p>
        </w:tc>
        <w:tc>
          <w:tcPr>
            <w:tcW w:type="dxa" w:w="7087"/>
          </w:tcPr>
          <w:p>
            <w:pPr>
              <w:spacing w:after="20"/>
            </w:pPr>
            <w:r>
              <w:rPr>
                <w:sz w:val="16"/>
              </w:rPr>
              <w:t>KMYV.1.1.2</w:t>
            </w:r>
          </w:p>
        </w:tc>
      </w:tr>
      <w:tr>
        <w:tc>
          <w:tcPr>
            <w:tcW w:type="dxa" w:w="2268"/>
          </w:tcPr>
          <w:p>
            <w:pPr>
              <w:spacing w:after="20"/>
            </w:pPr>
            <w:r>
              <w:rPr>
                <w:sz w:val="16"/>
              </w:rPr>
              <w:t>Yıllık plan kapsamı</w:t>
            </w:r>
          </w:p>
        </w:tc>
        <w:tc>
          <w:tcPr>
            <w:tcW w:type="dxa" w:w="7087"/>
          </w:tcPr>
          <w:p>
            <w:pPr>
              <w:spacing w:after="20"/>
            </w:pPr>
            <w:r>
              <w:rPr>
                <w:sz w:val="16"/>
              </w:rPr>
              <w:t>4.HAFTA(05-11); 5.HAFTA(12-18); 6.HAFTA(19-25); 7.HAFTA(26-01)</w:t>
            </w:r>
          </w:p>
        </w:tc>
      </w:tr>
      <w:tr>
        <w:tc>
          <w:tcPr>
            <w:tcW w:type="dxa" w:w="2268"/>
          </w:tcPr>
          <w:p>
            <w:pPr>
              <w:spacing w:after="20"/>
            </w:pPr>
            <w:r>
              <w:rPr>
                <w:sz w:val="16"/>
              </w:rPr>
              <w:t>Beceriler, eğilimler ve değerler</w:t>
            </w:r>
          </w:p>
        </w:tc>
        <w:tc>
          <w:tcPr>
            <w:tcW w:type="dxa" w:w="7087"/>
          </w:tcPr>
          <w:p>
            <w:pPr>
              <w:spacing w:after="20"/>
            </w:pPr>
            <w:r>
              <w:rPr>
                <w:sz w:val="16"/>
              </w:rPr>
              <w:t>KB2.14. Yorumlama, KB2.10. Çıkarım Yapma, E1.1. Merak, E3.1. Muhakeme, E3.2. Odaklanma, E3.3. Yaratıcılık, E3.5. Açık Fikirlilik, D15. Sevgi, D16. Sorumluluk, D19. Vatanseverlik; KB2.14. Yorumlama, KB2.10. Çıkarım Yapma, E1.1. Merak, E3.1. Muhakeme, E3.2. Odaklanma, E3.3. Yaratıcılık, E3.5. Açık Fikirlilik, D15. Sevgi, D16. Sorumluluk, D19. VatanseverlikKB2.14. Yorumlama, KB2.10. Çıkarım Yapma, E1.1. Merak, E3.1. Muhakeme, E3.2. Odaklanma, E3.3. Yaratıcılık, E3.5. Açık Fikirlilik, D15. Sevgi, D16. Sorumluluk, D19. VatanseverlikKB2.14. Yorumlama, KB2.10. Çıkarım Yapma, E1.1. Merak, E3.1. Muhakeme, E3.2. Odaklanma, E3.3. Yaratıcılık, E3.5. Açık</w:t>
            </w:r>
          </w:p>
        </w:tc>
      </w:tr>
    </w:tbl>
    <w:p>
      <w:pPr/>
      <w:r>
        <w:rPr>
          <w:b/>
          <w:color w:val="18415F"/>
          <w:sz w:val="20"/>
        </w:rPr>
        <w:t>2. PROGRAMLAR ARASI BİLEŞENLER VE ÖĞRENME KANITLARI</w:t>
      </w:r>
    </w:p>
    <w:tbl>
      <w:tblPr>
        <w:tblStyle w:val="TableGrid"/>
        <w:tblW w:type="auto" w:w="0"/>
        <w:tblLook w:firstColumn="1" w:firstRow="1" w:lastColumn="0" w:lastRow="0" w:noHBand="0" w:noVBand="1" w:val="04A0"/>
      </w:tblPr>
      <w:tblGrid>
        <w:gridCol w:w="2268"/>
        <w:gridCol w:w="7087"/>
      </w:tblGrid>
      <w:tr>
        <w:tc>
          <w:tcPr>
            <w:tcW w:type="dxa" w:w="2268"/>
          </w:tcPr>
          <w:p>
            <w:pPr>
              <w:spacing w:after="20"/>
            </w:pPr>
            <w:r>
              <w:rPr>
                <w:sz w:val="16"/>
              </w:rPr>
              <w:t>Değerler</w:t>
            </w:r>
          </w:p>
        </w:tc>
        <w:tc>
          <w:tcPr>
            <w:tcW w:type="dxa" w:w="7087"/>
          </w:tcPr>
          <w:p>
            <w:pPr>
              <w:spacing w:after="20"/>
            </w:pPr>
            <w:r>
              <w:rPr>
                <w:sz w:val="16"/>
              </w:rPr>
              <w:t>Çalışkanlık, dürüstlük, saygı, sevgi, sorumluluk ve vatanseverlik; aylık öğrenme alanına uygun değerler.</w:t>
            </w:r>
          </w:p>
        </w:tc>
      </w:tr>
      <w:tr>
        <w:tc>
          <w:tcPr>
            <w:tcW w:type="dxa" w:w="2268"/>
          </w:tcPr>
          <w:p>
            <w:pPr>
              <w:spacing w:after="20"/>
            </w:pPr>
            <w:r>
              <w:rPr>
                <w:sz w:val="16"/>
              </w:rPr>
              <w:t>Okuryazarlık ve sosyal-duygusal öğrenme</w:t>
            </w:r>
          </w:p>
        </w:tc>
        <w:tc>
          <w:tcPr>
            <w:tcW w:type="dxa" w:w="7087"/>
          </w:tcPr>
          <w:p>
            <w:pPr>
              <w:spacing w:after="20"/>
            </w:pPr>
            <w:r>
              <w:rPr>
                <w:sz w:val="16"/>
              </w:rPr>
              <w:t>Bilgi, görsel, dijital ve kültür-sanat okuryazarlığı; iletişim, iş birliği ve sorumlu karar verme.</w:t>
            </w:r>
          </w:p>
        </w:tc>
      </w:tr>
      <w:tr>
        <w:tc>
          <w:tcPr>
            <w:tcW w:type="dxa" w:w="2268"/>
          </w:tcPr>
          <w:p>
            <w:pPr>
              <w:spacing w:after="20"/>
            </w:pPr>
            <w:r>
              <w:rPr>
                <w:sz w:val="16"/>
              </w:rPr>
              <w:t>Öğrenme kanıtları</w:t>
            </w:r>
          </w:p>
        </w:tc>
        <w:tc>
          <w:tcPr>
            <w:tcW w:type="dxa" w:w="7087"/>
          </w:tcPr>
          <w:p>
            <w:pPr>
              <w:spacing w:after="20"/>
            </w:pPr>
            <w:r>
              <w:rPr>
                <w:sz w:val="16"/>
              </w:rPr>
              <w:t>Araştırma notları, çalışma yaprakları, sunum kontrol listesi, gözlem, öz ve akran değerlendirme, dereceli puanlama anahtarı.</w:t>
            </w:r>
          </w:p>
        </w:tc>
      </w:tr>
    </w:tbl>
    <w:p>
      <w:pPr/>
      <w:r>
        <w:rPr>
          <w:b/>
          <w:color w:val="18415F"/>
          <w:sz w:val="20"/>
        </w:rPr>
        <w:t>3. ÖĞRENME-ÖĞRETME SÜRECİ</w:t>
      </w:r>
    </w:p>
    <w:p>
      <w:r>
        <w:t>Kültürel mirası koruma örnekleri üzerinden beyin fırtınası, haber incelemesi, öğrenme galerisi ve koruma kampanyası tasarımı. Öğrenme sürecinde ön bilgilerle bağlantı kurulması, güvenilir yazılı ve görsel kaynakların kullanılması, öğrenci katılımının ve Türkçenin etkili kullanımının desteklenmesi esas alınmıştır.</w:t>
      </w:r>
    </w:p>
    <w:p>
      <w:pPr/>
      <w:r>
        <w:rPr>
          <w:b/>
          <w:color w:val="18415F"/>
          <w:sz w:val="20"/>
        </w:rPr>
        <w:t>4. ARAŞTIRMA, PERFORMANS VE ÜRÜN ÇALIŞMALARI</w:t>
      </w:r>
    </w:p>
    <w:p>
      <w:r>
        <w:t>Yıllık plan doğrultusunda konuya uygun kaynak inceleme, karşılaştırma tablosu, tanıtım broşürü, biyografik zaman şeridi, afiş veya dijital sunum gibi ürünler için görevler planlanmıştır. Öğrenci ürünlerinde kaynak gösterme ve özgün anlatım ölçütleri gözetilmiştir.</w:t>
      </w:r>
    </w:p>
    <w:p>
      <w:pPr/>
      <w:r>
        <w:rPr>
          <w:b/>
          <w:color w:val="18415F"/>
          <w:sz w:val="20"/>
        </w:rPr>
        <w:t>5. ÖLÇME VE DEĞERLENDİRME</w:t>
      </w:r>
    </w:p>
    <w:p>
      <w:r>
        <w:t>Öğrenme çıktılarının izlenmesi için soru-cevap, gözlem, çalışma yaprağı, öz değerlendirme ve akran değerlendirmesi ile uygun ürünlerde dereceli puanlama anahtarından yararlanılması öngörülmüştür. Değer ve eğilimler notla değerlendirilmeden süreç içinde izlenmiştir.</w:t>
      </w:r>
    </w:p>
    <w:p>
      <w:pPr/>
      <w:r>
        <w:rPr>
          <w:b/>
          <w:color w:val="18415F"/>
          <w:sz w:val="20"/>
        </w:rPr>
        <w:t>6. FARKLILAŞTIRMA: ZENGİNLEŞTİRME VE DESTEKLEME</w:t>
      </w:r>
    </w:p>
    <w:p>
      <w:r>
        <w:t>İleri düzey öğrenciler için çoklu kaynak karşılaştırması, özgün infografik ve kısa araştırma ürünleri; desteğe ihtiyaç duyan öğrenciler için görsel eşleştirme, kavram kartları, yapılandırılmış soru ve aşamalı yönergeler planlanmıştır.</w:t>
      </w:r>
    </w:p>
    <w:p>
      <w:pPr/>
      <w:r>
        <w:rPr>
          <w:b/>
          <w:color w:val="18415F"/>
          <w:sz w:val="20"/>
        </w:rPr>
        <w:t>7. AYLIK GENEL DEĞERLENDİRME</w:t>
      </w:r>
    </w:p>
    <w:p>
      <w:r>
        <w:t>Eki̇m ayına ilişkin öğrenme alanları, haftalık ders saati ve öğrenme çıktıları yıllık plan esas alınarak raporlaştırılmıştır. Sınıf içi uygulamaların gerçekleşme düzeyi, öğrenci ürünleri ve gözlem sonuçları ay sonunda öğretmen tarafından doğrulanarak rapor kesinleştirilmelidir.</w:t>
      </w:r>
    </w:p>
    <w:p>
      <w:r>
        <w:t>Rapor tarihi: 01.11.2026</w:t>
      </w:r>
    </w:p>
    <w:p>
      <w:r>
        <w:t>Dersi Okutan Öğretmen                                  Okul Müdürü</w:t>
        <w:br/>
        <w:t>Adı Soyadı / İmza                                       Adı Soyadı / İmza</w:t>
      </w:r>
    </w:p>
    <w:sectPr w:rsidR="00FC693F" w:rsidRPr="0006063C" w:rsidSect="00034616">
      <w:pgSz w:w="12240" w:h="15840"/>
      <w:pgMar w:top="907"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