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</w:rPr>
        <w:t>T.C. MİLLÎ EĞİTİM BAKANLIĞI</w:t>
      </w:r>
    </w:p>
    <w:p>
      <w:pPr>
        <w:jc w:val="center"/>
      </w:pPr>
      <w:r>
        <w:rPr>
          <w:b/>
        </w:rPr>
        <w:t>2026–2027 EĞİTİM ÖĞRETİM YILI</w:t>
      </w:r>
    </w:p>
    <w:p>
      <w:pPr>
        <w:jc w:val="center"/>
      </w:pPr>
      <w:r>
        <w:rPr>
          <w:b/>
        </w:rPr>
        <w:t>GÖRGÜ KURALLARI VE NEZAKET I DERSİ</w:t>
      </w:r>
    </w:p>
    <w:p>
      <w:pPr>
        <w:jc w:val="center"/>
      </w:pPr>
      <w:r>
        <w:rPr>
          <w:b/>
        </w:rPr>
        <w:t>EKIM 2026 AYI TÜRKİYE YÜZYILI MAARİF MODELİ DERS RAPORU</w:t>
      </w:r>
    </w:p>
    <w:p>
      <w:pPr>
        <w:jc w:val="center"/>
      </w:pPr>
      <w:r>
        <w:rPr>
          <w:b w:val="0"/>
        </w:rPr>
        <w:t>Rapor No: 2     |     Haftalık Ders Saati: 2     |     Düzey: I</w:t>
      </w:r>
    </w:p>
    <w:p>
      <w:pPr>
        <w:spacing w:before="140" w:after="60"/>
      </w:pPr>
      <w:r>
        <w:rPr>
          <w:b/>
          <w:sz w:val="20"/>
        </w:rPr>
        <w:t>1. AYLIK ÖĞRETİM PROGRAMI VE ÖĞRENME ÇIKTILARI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2551"/>
        <w:gridCol w:w="6860"/>
      </w:tblGrid>
      <w:tr>
        <w:tc>
          <w:tcPr>
            <w:tcW w:type="dxa" w:w="2551"/>
            <w:vAlign w:val="center"/>
          </w:tcPr>
          <w:p>
            <w:pPr>
              <w:spacing w:after="20"/>
            </w:pPr>
            <w:r/>
            <w:r>
              <w:rPr>
                <w:b/>
                <w:sz w:val="16"/>
              </w:rPr>
              <w:t>Tema / öğrenme alanı</w:t>
            </w:r>
          </w:p>
        </w:tc>
        <w:tc>
          <w:tcPr>
            <w:tcW w:type="dxa" w:w="6860"/>
            <w:vAlign w:val="center"/>
          </w:tcPr>
          <w:p>
            <w:pPr>
              <w:spacing w:after="20"/>
            </w:pPr>
            <w:r/>
            <w:r>
              <w:rPr>
                <w:b w:val="0"/>
                <w:sz w:val="16"/>
              </w:rPr>
              <w:t>Görgü Kuralları ve Nezaketin Gücü</w:t>
            </w:r>
          </w:p>
        </w:tc>
      </w:tr>
      <w:tr>
        <w:tc>
          <w:tcPr>
            <w:tcW w:type="dxa" w:w="2551"/>
            <w:vAlign w:val="center"/>
          </w:tcPr>
          <w:p>
            <w:pPr>
              <w:spacing w:after="20"/>
            </w:pPr>
            <w:r/>
            <w:r>
              <w:rPr>
                <w:b/>
                <w:sz w:val="16"/>
              </w:rPr>
              <w:t>Öğrenme çıktıları</w:t>
            </w:r>
          </w:p>
        </w:tc>
        <w:tc>
          <w:tcPr>
            <w:tcW w:type="dxa" w:w="6860"/>
            <w:vAlign w:val="center"/>
          </w:tcPr>
          <w:p>
            <w:pPr>
              <w:spacing w:after="20"/>
            </w:pPr>
            <w:r/>
            <w:r>
              <w:rPr>
                <w:b w:val="0"/>
                <w:sz w:val="16"/>
              </w:rPr>
              <w:t>GKN.1.1.1, GKN.1.1.2</w:t>
            </w:r>
          </w:p>
        </w:tc>
      </w:tr>
      <w:tr>
        <w:tc>
          <w:tcPr>
            <w:tcW w:type="dxa" w:w="2551"/>
            <w:vAlign w:val="center"/>
          </w:tcPr>
          <w:p>
            <w:pPr>
              <w:spacing w:after="20"/>
            </w:pPr>
            <w:r/>
            <w:r>
              <w:rPr>
                <w:b/>
                <w:sz w:val="16"/>
              </w:rPr>
              <w:t>İçerik çerçevesi</w:t>
            </w:r>
          </w:p>
        </w:tc>
        <w:tc>
          <w:tcPr>
            <w:tcW w:type="dxa" w:w="6860"/>
            <w:vAlign w:val="center"/>
          </w:tcPr>
          <w:p>
            <w:pPr>
              <w:spacing w:after="20"/>
            </w:pPr>
            <w:r/>
            <w:r>
              <w:rPr>
                <w:b w:val="0"/>
                <w:sz w:val="16"/>
              </w:rPr>
              <w:t>Görgü Kuralları ve Nezaketin Temel Kavramları; Görgü Kuralları ve Nezaketin Kaynakları; Görgü Kuralları ve Nezaketin KaynaklarıGörgü Kuralları ve Nezaketin KaynaklarıGörgü Kuralları ve Nezaketin Kaynakları</w:t>
            </w:r>
          </w:p>
        </w:tc>
      </w:tr>
      <w:tr>
        <w:tc>
          <w:tcPr>
            <w:tcW w:type="dxa" w:w="2551"/>
            <w:vAlign w:val="center"/>
          </w:tcPr>
          <w:p>
            <w:pPr>
              <w:spacing w:after="20"/>
            </w:pPr>
            <w:r/>
            <w:r>
              <w:rPr>
                <w:b/>
                <w:sz w:val="16"/>
              </w:rPr>
              <w:t>Ders süresi</w:t>
            </w:r>
          </w:p>
        </w:tc>
        <w:tc>
          <w:tcPr>
            <w:tcW w:type="dxa" w:w="6860"/>
            <w:vAlign w:val="center"/>
          </w:tcPr>
          <w:p>
            <w:pPr>
              <w:spacing w:after="20"/>
            </w:pPr>
            <w:r/>
            <w:r>
              <w:rPr>
                <w:b w:val="0"/>
                <w:sz w:val="16"/>
              </w:rPr>
              <w:t>Yıllık planda 4 haftalık satır (her biri 2 ders saati); ay geçişindeki haftalar planın başlangıç ayına göre ele alınmıştır.</w:t>
            </w:r>
          </w:p>
        </w:tc>
      </w:tr>
    </w:tbl>
    <w:p>
      <w:pPr>
        <w:spacing w:before="140" w:after="60"/>
      </w:pPr>
      <w:r>
        <w:rPr>
          <w:b/>
          <w:sz w:val="20"/>
        </w:rPr>
        <w:t>2. BECERİLER, DEĞERLER VE PROGRAMLAR ARASI BİLEŞENLER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2551"/>
        <w:gridCol w:w="6860"/>
      </w:tblGrid>
      <w:tr>
        <w:tc>
          <w:tcPr>
            <w:tcW w:type="dxa" w:w="2551"/>
            <w:vAlign w:val="center"/>
          </w:tcPr>
          <w:p>
            <w:pPr>
              <w:spacing w:after="20"/>
            </w:pPr>
            <w:r/>
            <w:r>
              <w:rPr>
                <w:b/>
                <w:sz w:val="16"/>
              </w:rPr>
              <w:t>Kavramsal beceriler</w:t>
            </w:r>
          </w:p>
        </w:tc>
        <w:tc>
          <w:tcPr>
            <w:tcW w:type="dxa" w:w="6860"/>
            <w:vAlign w:val="center"/>
          </w:tcPr>
          <w:p>
            <w:pPr>
              <w:spacing w:after="20"/>
            </w:pPr>
            <w:r/>
            <w:r>
              <w:rPr>
                <w:b w:val="0"/>
                <w:sz w:val="16"/>
              </w:rPr>
              <w:t>KB2.6. Bilgi Toplama, KB2.14. Yorumlama</w:t>
            </w:r>
          </w:p>
        </w:tc>
      </w:tr>
      <w:tr>
        <w:tc>
          <w:tcPr>
            <w:tcW w:type="dxa" w:w="2551"/>
            <w:vAlign w:val="center"/>
          </w:tcPr>
          <w:p>
            <w:pPr>
              <w:spacing w:after="20"/>
            </w:pPr>
            <w:r/>
            <w:r>
              <w:rPr>
                <w:b/>
                <w:sz w:val="16"/>
              </w:rPr>
              <w:t>Eğilimler</w:t>
            </w:r>
          </w:p>
        </w:tc>
        <w:tc>
          <w:tcPr>
            <w:tcW w:type="dxa" w:w="6860"/>
            <w:vAlign w:val="center"/>
          </w:tcPr>
          <w:p>
            <w:pPr>
              <w:spacing w:after="20"/>
            </w:pPr>
            <w:r/>
            <w:r>
              <w:rPr>
                <w:b w:val="0"/>
                <w:sz w:val="16"/>
              </w:rPr>
              <w:t>Merak, empati, muhakeme, sistematiklik (ilgili tema ile ilişkilendirildi).</w:t>
            </w:r>
          </w:p>
        </w:tc>
      </w:tr>
      <w:tr>
        <w:tc>
          <w:tcPr>
            <w:tcW w:type="dxa" w:w="2551"/>
            <w:vAlign w:val="center"/>
          </w:tcPr>
          <w:p>
            <w:pPr>
              <w:spacing w:after="20"/>
            </w:pPr>
            <w:r/>
            <w:r>
              <w:rPr>
                <w:b/>
                <w:sz w:val="16"/>
              </w:rPr>
              <w:t>Sosyal-duygusal beceriler</w:t>
            </w:r>
          </w:p>
        </w:tc>
        <w:tc>
          <w:tcPr>
            <w:tcW w:type="dxa" w:w="6860"/>
            <w:vAlign w:val="center"/>
          </w:tcPr>
          <w:p>
            <w:pPr>
              <w:spacing w:after="20"/>
            </w:pPr>
            <w:r/>
            <w:r>
              <w:rPr>
                <w:b w:val="0"/>
                <w:sz w:val="16"/>
              </w:rPr>
              <w:t>Öz yansıtma, iletişim, sosyal farkındalık, uyum ve esneklik.</w:t>
            </w:r>
          </w:p>
        </w:tc>
      </w:tr>
      <w:tr>
        <w:tc>
          <w:tcPr>
            <w:tcW w:type="dxa" w:w="2551"/>
            <w:vAlign w:val="center"/>
          </w:tcPr>
          <w:p>
            <w:pPr>
              <w:spacing w:after="20"/>
            </w:pPr>
            <w:r/>
            <w:r>
              <w:rPr>
                <w:b/>
                <w:sz w:val="16"/>
              </w:rPr>
              <w:t>Değerler</w:t>
            </w:r>
          </w:p>
        </w:tc>
        <w:tc>
          <w:tcPr>
            <w:tcW w:type="dxa" w:w="6860"/>
            <w:vAlign w:val="center"/>
          </w:tcPr>
          <w:p>
            <w:pPr>
              <w:spacing w:after="20"/>
            </w:pPr>
            <w:r/>
            <w:r>
              <w:rPr>
                <w:b w:val="0"/>
                <w:sz w:val="16"/>
              </w:rPr>
              <w:t>Saygı, dostluk, sabır, çalışkanlık; tema kapsamındaki sorumluluk ve nezaket davranışları.</w:t>
            </w:r>
          </w:p>
        </w:tc>
      </w:tr>
      <w:tr>
        <w:tc>
          <w:tcPr>
            <w:tcW w:type="dxa" w:w="2551"/>
            <w:vAlign w:val="center"/>
          </w:tcPr>
          <w:p>
            <w:pPr>
              <w:spacing w:after="20"/>
            </w:pPr>
            <w:r/>
            <w:r>
              <w:rPr>
                <w:b/>
                <w:sz w:val="16"/>
              </w:rPr>
              <w:t>Okuryazarlık</w:t>
            </w:r>
          </w:p>
        </w:tc>
        <w:tc>
          <w:tcPr>
            <w:tcW w:type="dxa" w:w="6860"/>
            <w:vAlign w:val="center"/>
          </w:tcPr>
          <w:p>
            <w:pPr>
              <w:spacing w:after="20"/>
            </w:pPr>
            <w:r/>
            <w:r>
              <w:rPr>
                <w:b w:val="0"/>
                <w:sz w:val="16"/>
              </w:rPr>
              <w:t>Bilgi, dijital, görsel ve kültür okuryazarlığı.</w:t>
            </w:r>
          </w:p>
        </w:tc>
      </w:tr>
    </w:tbl>
    <w:p>
      <w:pPr>
        <w:spacing w:before="140" w:after="60"/>
      </w:pPr>
      <w:r>
        <w:rPr>
          <w:b/>
          <w:sz w:val="20"/>
        </w:rPr>
        <w:t>3. ÖĞRENME–ÖĞRETME SÜRECİ</w:t>
      </w:r>
    </w:p>
    <w:p>
      <w:pPr>
        <w:jc w:val="left"/>
      </w:pPr>
      <w:r>
        <w:rPr>
          <w:b w:val="0"/>
        </w:rPr>
        <w:t>Görgü ve nezaket kavramlarıyla ilgili bilgiler karşılaştırıldı, güvenilirliği sorgulandı ve kaydedildi. “Görgü Dedektifi” etkinliğiyle davranış örnekleri incelendi. Aile, kültür, din ve ahlakın nezaket üzerindeki etkisi örnek olaylarla tartışıldı.</w:t>
      </w:r>
    </w:p>
    <w:p>
      <w:pPr>
        <w:spacing w:before="140" w:after="60"/>
      </w:pPr>
      <w:r>
        <w:rPr>
          <w:b/>
          <w:sz w:val="20"/>
        </w:rPr>
        <w:t>4. ARAŞTIRMA VE PERFORMANS GÖREVLERİ</w:t>
      </w:r>
    </w:p>
    <w:p>
      <w:pPr>
        <w:jc w:val="left"/>
      </w:pPr>
      <w:r>
        <w:rPr>
          <w:b w:val="0"/>
        </w:rPr>
        <w:t>Öğrenme çıktılarına uygun örnek görev: Aile büyüklerinden öğrenilen bir nezaket davranışını araştırıp sınıfta paylaşma. Görevler, öğrenci düzeyi ve sınıfın ihtiyaçlarına göre uyarlanabilecek şekilde planlandı.</w:t>
      </w:r>
    </w:p>
    <w:p>
      <w:pPr>
        <w:spacing w:before="140" w:after="60"/>
      </w:pPr>
      <w:r>
        <w:rPr>
          <w:b/>
          <w:sz w:val="20"/>
        </w:rPr>
        <w:t>5. ÖLÇME VE DEĞERLENDİRME / ÖĞRENME KANITLARI</w:t>
      </w:r>
    </w:p>
    <w:p>
      <w:pPr>
        <w:jc w:val="left"/>
      </w:pPr>
      <w:r>
        <w:rPr>
          <w:b w:val="0"/>
        </w:rPr>
        <w:t>Açık uçlu sorular, örnek olay çözümlemeleri, çalışma yaprakları, gözlem formları, kontrol listeleri, öz ve akran değerlendirme araçları kullanılarak süreç odaklı değerlendirme yapıldı. Öğrenci ürünleri için ölçütler açıklandı; katılım ve gelişim konusunda yapıcı dönütler verildi.</w:t>
      </w:r>
    </w:p>
    <w:p>
      <w:pPr>
        <w:spacing w:before="140" w:after="60"/>
      </w:pPr>
      <w:r>
        <w:rPr>
          <w:b/>
          <w:sz w:val="20"/>
        </w:rPr>
        <w:t>6. FARKLILAŞTIRMA: ZENGİNLEŞTİRME VE DESTEKLEME</w:t>
      </w:r>
    </w:p>
    <w:p>
      <w:pPr>
        <w:jc w:val="left"/>
      </w:pPr>
      <w:r>
        <w:rPr>
          <w:b w:val="0"/>
        </w:rPr>
        <w:t>Zenginleştirme kapsamında öğrencilerin nezaket davranışlarına ilişkin afiş, broşür, örnek diyalog ve çözüm önerileri geliştirmeleri desteklendi. Destekleme kapsamında somut örnekler, görseller, kısa yönergeler, eşli çalışmalar ve gerektiğinde ek açıklamalar kullanıldı.</w:t>
      </w:r>
    </w:p>
    <w:p>
      <w:pPr>
        <w:spacing w:before="140" w:after="60"/>
      </w:pPr>
      <w:r>
        <w:rPr>
          <w:b/>
          <w:sz w:val="20"/>
        </w:rPr>
        <w:t>7. AYLIK GENEL DEĞERLENDİRME</w:t>
      </w:r>
    </w:p>
    <w:p>
      <w:pPr>
        <w:jc w:val="left"/>
      </w:pPr>
      <w:r>
        <w:rPr>
          <w:b w:val="0"/>
        </w:rPr>
        <w:t>Ekim ayı kapsamında yıllık planda öngörülen içerikler doğrultusunda görgü ve nezaket kurallarını günlük yaşama aktarmaya yönelik çalışmalar ele alındı. Öğrencilerin bireysel farklılıkları gözetilerek süreç içinde geri bildirim sağlandı; sonraki ayın öğrenme yaşantıları için ihtiyaç duyulan pekiştirme alanları belirlendi.</w:t>
      </w:r>
    </w:p>
    <w:p>
      <w:pPr>
        <w:jc w:val="left"/>
      </w:pPr>
      <w:r>
        <w:rPr>
          <w:b w:val="0"/>
        </w:rPr>
        <w:t>Rapor Tarihi: 02.11.2026</w:t>
      </w:r>
    </w:p>
    <w:tbl>
      <w:tblPr>
        <w:tblW w:type="auto" w:w="0"/>
        <w:tblLook w:firstColumn="1" w:firstRow="1" w:lastColumn="0" w:lastRow="0" w:noHBand="0" w:noVBand="1" w:val="04A0"/>
      </w:tblPr>
      <w:tblGrid>
        <w:gridCol w:w="4535"/>
        <w:gridCol w:w="4535"/>
      </w:tblGrid>
      <w:tr>
        <w:tc>
          <w:tcPr>
            <w:tcW w:type="dxa" w:w="4986"/>
          </w:tcPr>
          <w:p>
            <w:pPr>
              <w:jc w:val="center"/>
            </w:pPr>
            <w:r>
              <w:t>Dersi Okutan Öğretmen</w:t>
              <w:br/>
              <w:t>Adı Soyadı / İmza</w:t>
            </w:r>
          </w:p>
        </w:tc>
        <w:tc>
          <w:tcPr>
            <w:tcW w:type="dxa" w:w="4986"/>
          </w:tcPr>
          <w:p>
            <w:pPr>
              <w:jc w:val="center"/>
            </w:pPr>
            <w:r>
              <w:t>Okul Müdürü</w:t>
              <w:br/>
              <w:t>Adı Soyadı / İmza</w:t>
            </w:r>
          </w:p>
        </w:tc>
      </w:tr>
    </w:tbl>
    <w:sectPr w:rsidR="00FC693F" w:rsidRPr="0006063C" w:rsidSect="00034616">
      <w:pgSz w:w="12240" w:h="15840"/>
      <w:pgMar w:top="879" w:right="1134" w:bottom="85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/>
    </w:pPr>
    <w:rPr>
      <w:rFonts w:ascii="Arial" w:hAnsi="Arial"/>
      <w:sz w:val="1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