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DÜŞÜNME EĞİTİMİ DERSİ</w:t>
        <w:br/>
        <w:t>EKİM AYI MAARİF MODEL DERS RAPORU</w:t>
      </w:r>
    </w:p>
    <w:p>
      <w:pPr>
        <w:jc w:val="center"/>
      </w:pPr>
      <w:r>
        <w:t>Eğitim Öğretim Yılı: 2026–2027     Düzey: I (2 ders saati)     Rapor No: 2</w:t>
      </w:r>
    </w:p>
    <w:p>
      <w:pPr>
        <w:pStyle w:val="Heading2"/>
      </w:pPr>
      <w:r>
        <w:t>1. AYLIK ÖĞRENME ÇIKTILARI VE İÇERİK</w:t>
      </w:r>
    </w:p>
    <w:tbl>
      <w:tblPr>
        <w:tblStyle w:val="TableGrid"/>
        <w:tblW w:type="auto" w:w="0"/>
        <w:tblLook w:firstColumn="1" w:firstRow="1" w:lastColumn="0" w:lastRow="0" w:noHBand="0" w:noVBand="1" w:val="04A0"/>
      </w:tblPr>
      <w:tblGrid>
        <w:gridCol w:w="2324"/>
        <w:gridCol w:w="6973"/>
      </w:tblGrid>
      <w:tr>
        <w:tc>
          <w:tcPr>
            <w:tcW w:type="dxa" w:w="5043"/>
            <w:vAlign w:val="center"/>
          </w:tcPr>
          <w:p>
            <w:pPr>
              <w:spacing w:after="20"/>
            </w:pPr>
            <w:r>
              <w:rPr>
                <w:b/>
                <w:sz w:val="16"/>
              </w:rPr>
              <w:t>Bileşen</w:t>
            </w:r>
          </w:p>
        </w:tc>
        <w:tc>
          <w:tcPr>
            <w:tcW w:type="dxa" w:w="5043"/>
            <w:vAlign w:val="center"/>
          </w:tcPr>
          <w:p>
            <w:pPr>
              <w:spacing w:after="20"/>
            </w:pPr>
            <w:r>
              <w:rPr>
                <w:b/>
                <w:sz w:val="16"/>
              </w:rPr>
              <w:t>Yıllık Plana Göre İçerik</w:t>
            </w:r>
          </w:p>
        </w:tc>
      </w:tr>
      <w:tr>
        <w:tc>
          <w:tcPr>
            <w:tcW w:type="dxa" w:w="2324"/>
            <w:vAlign w:val="center"/>
          </w:tcPr>
          <w:p>
            <w:pPr>
              <w:spacing w:after="20"/>
            </w:pPr>
            <w:r>
              <w:rPr>
                <w:b/>
                <w:sz w:val="16"/>
              </w:rPr>
              <w:t>Ünite / Tema</w:t>
            </w:r>
          </w:p>
        </w:tc>
        <w:tc>
          <w:tcPr>
            <w:tcW w:type="dxa" w:w="6973"/>
            <w:vAlign w:val="center"/>
          </w:tcPr>
          <w:p>
            <w:pPr>
              <w:spacing w:after="20"/>
            </w:pPr>
            <w:r>
              <w:rPr>
                <w:b w:val="0"/>
                <w:sz w:val="16"/>
              </w:rPr>
              <w:t>1. Ünite: Düşünme ve Düşünme Süreci; 1. Ünite: Düşünme ve Düşünme Süreci1. Ünite: Düşünme ve Düşünme Süreci1. Ünite: Düşünme ve Düşünme Süreci</w:t>
            </w:r>
          </w:p>
        </w:tc>
      </w:tr>
      <w:tr>
        <w:tc>
          <w:tcPr>
            <w:tcW w:type="dxa" w:w="2324"/>
            <w:vAlign w:val="center"/>
          </w:tcPr>
          <w:p>
            <w:pPr>
              <w:spacing w:after="20"/>
            </w:pPr>
            <w:r>
              <w:rPr>
                <w:b/>
                <w:sz w:val="16"/>
              </w:rPr>
              <w:t>Öğrenme çıktıları ve süreç bileşenleri</w:t>
            </w:r>
          </w:p>
        </w:tc>
        <w:tc>
          <w:tcPr>
            <w:tcW w:type="dxa" w:w="6973"/>
            <w:vAlign w:val="center"/>
          </w:tcPr>
          <w:p>
            <w:pPr>
              <w:spacing w:after="20"/>
            </w:pPr>
            <w:r>
              <w:rPr>
                <w:b w:val="0"/>
                <w:sz w:val="16"/>
              </w:rPr>
              <w:t>DE.1.1.1. Düşünme süreci ve diğer zihinsel etkinlikler hakkında bilgi toplayabilme</w:t>
              <w:br/>
              <w:t xml:space="preserve"> b) Düşünme süreci ve diğer zihinsel etkinlikler hakkında bilgiler bulur.</w:t>
              <w:br/>
              <w:t>DE.1.1.1. Düşünme süreci ve diğer zihinsel etkinlikler hakkında bilgi toplayabilme</w:t>
              <w:br/>
              <w:t xml:space="preserve"> c) Düşünme süreci ve diğer zihinsel etkinlikler hakkında ulaştığı bilgileri doğrular.</w:t>
              <w:br/>
              <w:t>DE.1.1.1. Düşünme süreci ve diğer zihinsel etkinlikler hakkında bilgi toplayabilme</w:t>
              <w:br/>
              <w:t xml:space="preserve"> ç) Düşünme süreci ve diğer zihinsel etkinlikler hakkında ulaştığı bilgileri kaydeder.</w:t>
              <w:br/>
              <w:t>DE.1.1.2. Farklı düşünme edimlerini sorgulayabilme</w:t>
              <w:br/>
              <w:t xml:space="preserve"> a) Farklı düşünme edimlerini tanımlar.</w:t>
              <w:br/>
              <w:t>DE.1.1.2. Farklı düşünme edimlerini sorgulayabilme</w:t>
              <w:br/>
              <w:t xml:space="preserve"> b) Farklı düşünme edimleri hakkında sorular sorar.DE.1.1.2. Farklı düşünme edimlerini sorgulayabilme</w:t>
              <w:br/>
              <w:t xml:space="preserve"> b) Farklı düşünme edimleri hakkında sorular sorar.DE.1.1.2. Farklı düşünme edimlerini sorgulayabilme</w:t>
              <w:br/>
              <w:t xml:space="preserve"> b) Farklı düşünme edimleri hakkında sorular sorar.</w:t>
            </w:r>
          </w:p>
        </w:tc>
      </w:tr>
      <w:tr>
        <w:tc>
          <w:tcPr>
            <w:tcW w:type="dxa" w:w="2324"/>
            <w:vAlign w:val="center"/>
          </w:tcPr>
          <w:p>
            <w:pPr>
              <w:spacing w:after="20"/>
            </w:pPr>
            <w:r>
              <w:rPr>
                <w:b/>
                <w:sz w:val="16"/>
              </w:rPr>
              <w:t>Konu / içerik</w:t>
            </w:r>
          </w:p>
        </w:tc>
        <w:tc>
          <w:tcPr>
            <w:tcW w:type="dxa" w:w="6973"/>
            <w:vAlign w:val="center"/>
          </w:tcPr>
          <w:p>
            <w:pPr>
              <w:spacing w:after="20"/>
            </w:pPr>
            <w:r>
              <w:rPr>
                <w:b w:val="0"/>
                <w:sz w:val="16"/>
              </w:rPr>
              <w:t>Düşünme Süreci ve Zihinsel Etkinlikler, Farklı Düşünme Edimleri; Düşünme Süreci ve Zihinsel Etkinlikler, Farklı Düşünme EdimleriDüşünme Süreci ve Zihinsel Etkinlikler, Farklı Düşünme EdimleriDüşünme Süreci ve Zihinsel Etkinlikler, Farklı Düşünme Edimleri</w:t>
            </w:r>
          </w:p>
        </w:tc>
      </w:tr>
      <w:tr>
        <w:tc>
          <w:tcPr>
            <w:tcW w:type="dxa" w:w="2324"/>
            <w:vAlign w:val="center"/>
          </w:tcPr>
          <w:p>
            <w:pPr>
              <w:spacing w:after="20"/>
            </w:pPr>
            <w:r>
              <w:rPr>
                <w:b/>
                <w:sz w:val="16"/>
              </w:rPr>
              <w:t>Beceriler, değerler, eğilimler</w:t>
            </w:r>
          </w:p>
        </w:tc>
        <w:tc>
          <w:tcPr>
            <w:tcW w:type="dxa" w:w="6973"/>
            <w:vAlign w:val="center"/>
          </w:tcPr>
          <w:p>
            <w:pPr>
              <w:spacing w:after="20"/>
            </w:pPr>
            <w:r>
              <w:rPr>
                <w:b w:val="0"/>
                <w:sz w:val="16"/>
              </w:rP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 KB2.6. Bilgi Toplama, KB2.8. Sorgulama, E1.1. Merak, E3.3. Yaratıcılık, E3.7. Sistematiklik, E3.8. Soru Sorma, SDB1.1. Kendini Tanıma (Öz Farkındalık),…</w:t>
            </w:r>
          </w:p>
        </w:tc>
      </w:tr>
    </w:tbl>
    <w:p>
      <w:pPr>
        <w:pStyle w:val="Heading2"/>
      </w:pPr>
      <w:r>
        <w:t>2. PROGRAMLAR ARASI BİLEŞENLER</w:t>
      </w:r>
    </w:p>
    <w:tbl>
      <w:tblPr>
        <w:tblStyle w:val="TableGrid"/>
        <w:tblW w:type="auto" w:w="0"/>
        <w:tblLook w:firstColumn="1" w:firstRow="1" w:lastColumn="0" w:lastRow="0" w:noHBand="0" w:noVBand="1" w:val="04A0"/>
      </w:tblPr>
      <w:tblGrid>
        <w:gridCol w:w="5043"/>
        <w:gridCol w:w="5043"/>
      </w:tblGrid>
      <w:tr>
        <w:tc>
          <w:tcPr>
            <w:tcW w:type="dxa" w:w="5043"/>
            <w:vAlign w:val="center"/>
          </w:tcPr>
          <w:p>
            <w:pPr>
              <w:spacing w:after="20"/>
            </w:pPr>
            <w:r>
              <w:rPr>
                <w:b/>
                <w:sz w:val="16"/>
              </w:rPr>
              <w:t>Bileşen</w:t>
            </w:r>
          </w:p>
        </w:tc>
        <w:tc>
          <w:tcPr>
            <w:tcW w:type="dxa" w:w="5043"/>
            <w:vAlign w:val="center"/>
          </w:tcPr>
          <w:p>
            <w:pPr>
              <w:spacing w:after="20"/>
            </w:pPr>
            <w:r>
              <w:rPr>
                <w:b/>
                <w:sz w:val="16"/>
              </w:rPr>
              <w:t>İlişkilendirme</w:t>
            </w:r>
          </w:p>
        </w:tc>
      </w:tr>
      <w:tr>
        <w:tc>
          <w:tcPr>
            <w:tcW w:type="dxa" w:w="5043"/>
            <w:vAlign w:val="center"/>
          </w:tcPr>
          <w:p>
            <w:pPr>
              <w:spacing w:after="20"/>
            </w:pPr>
            <w:r>
              <w:rPr>
                <w:b/>
                <w:sz w:val="16"/>
              </w:rPr>
              <w:t>Sosyal-duygusal öğrenme</w:t>
            </w:r>
          </w:p>
        </w:tc>
        <w:tc>
          <w:tcPr>
            <w:tcW w:type="dxa" w:w="5043"/>
            <w:vAlign w:val="center"/>
          </w:tcPr>
          <w:p>
            <w:pPr>
              <w:spacing w:after="20"/>
            </w:pPr>
            <w:r>
              <w:rPr>
                <w:b w:val="0"/>
                <w:sz w:val="16"/>
              </w:rPr>
              <w:t>SDB1.1. Kendini Tanıma (Öz Farkındalık); SDB1.2. Kendini Düzenleme (Öz Düzenleme); SDB2.1. İletişim; SDB2.2. İş Birliği</w:t>
            </w:r>
          </w:p>
        </w:tc>
      </w:tr>
      <w:tr>
        <w:tc>
          <w:tcPr>
            <w:tcW w:type="dxa" w:w="5043"/>
            <w:vAlign w:val="center"/>
          </w:tcPr>
          <w:p>
            <w:pPr>
              <w:spacing w:after="20"/>
            </w:pPr>
            <w:r>
              <w:rPr>
                <w:b/>
                <w:sz w:val="16"/>
              </w:rPr>
              <w:t>Değerler</w:t>
            </w:r>
          </w:p>
        </w:tc>
        <w:tc>
          <w:tcPr>
            <w:tcW w:type="dxa" w:w="5043"/>
            <w:vAlign w:val="center"/>
          </w:tcPr>
          <w:p>
            <w:pPr>
              <w:spacing w:after="20"/>
            </w:pPr>
            <w:r>
              <w:rPr>
                <w:b w:val="0"/>
                <w:sz w:val="16"/>
              </w:rPr>
              <w:t>D3. Çalışkanlık; D14. Saygı; D16. Sorumluluk</w:t>
            </w:r>
          </w:p>
        </w:tc>
      </w:tr>
      <w:tr>
        <w:tc>
          <w:tcPr>
            <w:tcW w:type="dxa" w:w="5043"/>
            <w:vAlign w:val="center"/>
          </w:tcPr>
          <w:p>
            <w:pPr>
              <w:spacing w:after="20"/>
            </w:pPr>
            <w:r>
              <w:rPr>
                <w:b/>
                <w:sz w:val="16"/>
              </w:rPr>
              <w:t>Okuryazarlık</w:t>
            </w:r>
          </w:p>
        </w:tc>
        <w:tc>
          <w:tcPr>
            <w:tcW w:type="dxa" w:w="5043"/>
            <w:vAlign w:val="center"/>
          </w:tcPr>
          <w:p>
            <w:pPr>
              <w:spacing w:after="20"/>
            </w:pPr>
            <w:r>
              <w:rPr>
                <w:b w:val="0"/>
                <w:sz w:val="16"/>
              </w:rPr>
              <w:t>OB1. Bilgi Okuryazarlığı; OB2. Dijital Okuryazarlık; OB4. Görsel Okuryazarlık KB2.6. Bilgi Toplama; OB4. Görsel OkuryazarlıkKB2.6. Bilgi Toplama; OB4. Görsel Okuryazarlık</w:t>
            </w:r>
          </w:p>
        </w:tc>
      </w:tr>
      <w:tr>
        <w:tc>
          <w:tcPr>
            <w:tcW w:type="dxa" w:w="5043"/>
            <w:vAlign w:val="center"/>
          </w:tcPr>
          <w:p>
            <w:pPr>
              <w:spacing w:after="20"/>
            </w:pPr>
            <w:r>
              <w:rPr>
                <w:b/>
                <w:sz w:val="16"/>
              </w:rPr>
              <w:t>Eğilimler</w:t>
            </w:r>
          </w:p>
        </w:tc>
        <w:tc>
          <w:tcPr>
            <w:tcW w:type="dxa" w:w="5043"/>
            <w:vAlign w:val="center"/>
          </w:tcPr>
          <w:p>
            <w:pPr>
              <w:spacing w:after="20"/>
            </w:pPr>
            <w:r>
              <w:rPr>
                <w:b w:val="0"/>
                <w:sz w:val="16"/>
              </w:rPr>
              <w:t>E1.1. Merak; E3.3. Yaratıcılık; E3.7. Sistematiklik; E3.8. Soru Sorma</w:t>
            </w:r>
          </w:p>
        </w:tc>
      </w:tr>
    </w:tbl>
    <w:p>
      <w:pPr>
        <w:pStyle w:val="Heading2"/>
      </w:pPr>
      <w:r>
        <w:t>3. AYLIK UYGULAMA VE DEĞERLENDİRME</w:t>
      </w:r>
    </w:p>
    <w:p>
      <w:pPr>
        <w:spacing w:before="100" w:after="40"/>
      </w:pPr>
      <w:r>
        <w:rPr>
          <w:b/>
          <w:sz w:val="18"/>
        </w:rPr>
        <w:t xml:space="preserve">Öğrenme-öğretme süreci:  </w:t>
      </w:r>
      <w:r>
        <w:rPr>
          <w:sz w:val="18"/>
        </w:rPr>
        <w:t>Seçilen dijital ve basılı kaynaklar üzerinden düşünme, duyum, algı, hafıza ve imgelem gibi zihinsel kavramlar hakkında öğrencilerin kendi sorularını sorarak bilgiler bulmaları teşvik edilir. Toplanan bilgilerin bilimsel geçerliliği, tutarlılığı ve kaynak güvenilirliği üzerine saygı çerçevesinde sınıfça tartışılarak doğrulanması sağlanır; elde edilen veriler yapılandırılmış grid ve karşılaştırma tablolarıyla değerlendirilir. Öğrencilerin doğruladıkları bilgileri Merak Günlüğü ve Merak Dosyası adlı bireysel çalışmalarda kaydetmeleri, ardından bu bilgileri sınıf içinde özetleyerek sunmaları ve yansıtıcı yazılar oluşturmaları istenir. Öğrencilere sunulan metafor içerikli görseller aracılığıyla neden farklı düşüncelerin ortaya çıktığı tartışılarak, öğrencilerin kavrama,…</w:t>
      </w:r>
    </w:p>
    <w:p>
      <w:pPr>
        <w:spacing w:before="100" w:after="40"/>
      </w:pPr>
      <w:r>
        <w:rPr>
          <w:b/>
          <w:sz w:val="18"/>
        </w:rPr>
        <w:t xml:space="preserve">Araştırma ve performans görevleri:  </w:t>
      </w:r>
      <w:r>
        <w:rPr>
          <w:sz w:val="18"/>
        </w:rPr>
        <w:t>Öğrencilerin öğrenme çıktılarıyla ilişkili örnek olayları incelemeleri, sorular oluşturmaları ve ulaştıkları sonuçları gerekçeleriyle ifade etmeleri için çalışmalar planlandı. Çalışma kâğıtları ve kısa yansıtıcı yazılar kullanıldı.</w:t>
      </w:r>
    </w:p>
    <w:p>
      <w:pPr>
        <w:spacing w:before="100" w:after="40"/>
      </w:pPr>
      <w:r>
        <w:rPr>
          <w:b/>
          <w:sz w:val="18"/>
        </w:rPr>
        <w:t xml:space="preserve">Gözlem ve ölçme-değerlendirme:  </w:t>
      </w:r>
      <w:r>
        <w:rPr>
          <w:sz w:val="18"/>
        </w:rP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 Bu ünitedeki…</w:t>
      </w:r>
    </w:p>
    <w:p>
      <w:pPr>
        <w:spacing w:before="100" w:after="40"/>
      </w:pPr>
      <w:r>
        <w:rPr>
          <w:b/>
          <w:sz w:val="18"/>
        </w:rPr>
        <w:t xml:space="preserve">Zenginleştirme:  </w:t>
      </w:r>
      <w:r>
        <w:rPr>
          <w:sz w:val="18"/>
        </w:rPr>
        <w:t>Öğrencilerin farklı bakış açıları geliştirmelerini ve gerekçeli açıklama yapmalarını destekleyen ilave örnek olaylar, tartışmalar ve bireysel araştırma seçenekleri sunuldu.</w:t>
      </w:r>
    </w:p>
    <w:p>
      <w:pPr>
        <w:spacing w:before="100" w:after="40"/>
      </w:pPr>
      <w:r>
        <w:rPr>
          <w:b/>
          <w:sz w:val="18"/>
        </w:rPr>
        <w:t xml:space="preserve">Destekleme:  </w:t>
      </w:r>
      <w:r>
        <w:rPr>
          <w:sz w:val="18"/>
        </w:rPr>
        <w:t>Hazırbulunuşluk düzeyleri dikkate alınarak yönlendirici sorular, örneklendirilmiş çalışma kâğıtları ve aşamalı etkinliklerle öğrenme süreci desteklendi.</w:t>
      </w:r>
    </w:p>
    <w:p>
      <w:pPr>
        <w:spacing w:before="100" w:after="40"/>
      </w:pPr>
      <w:r>
        <w:rPr>
          <w:b/>
          <w:sz w:val="18"/>
        </w:rPr>
        <w:t xml:space="preserve">Aylık genel değerlendirme:  </w:t>
      </w:r>
      <w:r>
        <w:rPr>
          <w:sz w:val="18"/>
        </w:rPr>
        <w:t>Eki̇m ayı kapsamında yıllık planda yer alan 1. ünite: düşünme ve düşünme süreci, 1. ünite: düşünme ve düşünme süreci1. ünite: düşünme ve düşünme süreci1. ünite: düşünme ve düşünme süreci içeriği esas alınarak düşünme, sorgulama ve gerekçelendirme becerilerini geliştirmeye yönelik etkinlikler değerlendirildi. Öğrenci katılımı, üretilen öğrenme kanıtları ve farklılaştırma gereksinimlerinin izlenmesi hedeflendi.</w:t>
      </w:r>
    </w:p>
    <w:p>
      <w:r>
        <w:t>Rapor Tarihi: 01.11.2026</w:t>
      </w:r>
    </w:p>
    <w:p>
      <w:pPr>
        <w:spacing w:before="180"/>
      </w:pPr>
      <w:r>
        <w:t>Hazırlayan Öğretmen</w:t>
        <w:br/>
        <w:t>Adı Soyadı / İmza                                         Okul Müdürü</w:t>
        <w:br/>
        <w:t xml:space="preserve">                                                                Adı Soyadı / İmza</w:t>
      </w:r>
    </w:p>
    <w:sectPr w:rsidR="00FC693F" w:rsidRPr="0006063C" w:rsidSect="00034616">
      <w:pgSz w:w="12240" w:h="15840"/>
      <w:pgMar w:top="907" w:right="1077" w:bottom="822"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