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0"/>
        </w:rPr>
        <w:t>2026–2027 EĞİTİM ÖĞRETİM YILI</w:t>
      </w:r>
    </w:p>
    <w:p>
      <w:pPr>
        <w:jc w:val="center"/>
      </w:pPr>
      <w:r>
        <w:rPr>
          <w:rFonts w:ascii="Arial" w:hAnsi="Arial"/>
          <w:b/>
          <w:sz w:val="20"/>
        </w:rPr>
        <w:t>ÇEVRE EĞİTİMİ VE İKLİM DEĞİŞİKLİĞİ DERSİ EKIM AYI</w:t>
      </w:r>
    </w:p>
    <w:p>
      <w:pPr>
        <w:jc w:val="center"/>
      </w:pPr>
      <w:r>
        <w:rPr>
          <w:rFonts w:ascii="Arial" w:hAnsi="Arial"/>
          <w:b/>
          <w:sz w:val="20"/>
        </w:rPr>
        <w:t>TÜRKİYE YÜZYILI MAARİF MODELİ AYLIK DERS RAPORU</w:t>
      </w:r>
    </w:p>
    <w:p>
      <w:pPr>
        <w:jc w:val="center"/>
      </w:pPr>
      <w:r>
        <w:rPr>
          <w:rFonts w:ascii="Arial" w:hAnsi="Arial"/>
          <w:b w:val="0"/>
          <w:sz w:val="17"/>
        </w:rPr>
        <w:t>Rapor No: 2                                Rapor Tarihi: 01.11.2026</w:t>
      </w:r>
    </w:p>
    <w:p>
      <w:pPr>
        <w:jc w:val="left"/>
      </w:pPr>
      <w:r>
        <w:rPr>
          <w:rFonts w:ascii="Arial" w:hAnsi="Arial"/>
          <w:b/>
          <w:sz w:val="19"/>
        </w:rPr>
        <w:t>1. AYLIK ÖĞRENME ÇIKTILARI VE ÖĞRETİM ÇERÇEVESİ</w:t>
      </w:r>
    </w:p>
    <w:tbl>
      <w:tblPr>
        <w:tblStyle w:val="TableGrid"/>
        <w:tblW w:type="auto" w:w="0"/>
        <w:tblLayout w:type="fixed"/>
        <w:tblLook w:firstColumn="1" w:firstRow="1" w:lastColumn="0" w:lastRow="0" w:noHBand="0" w:noVBand="1" w:val="04A0"/>
      </w:tblPr>
      <w:tblGrid>
        <w:gridCol w:w="2324"/>
        <w:gridCol w:w="6860"/>
      </w:tblGrid>
      <w:tr>
        <w:tc>
          <w:tcPr>
            <w:tcW w:type="dxa" w:w="2324"/>
          </w:tcPr>
          <w:p>
            <w:pPr>
              <w:spacing w:after="20"/>
            </w:pPr>
            <w:r/>
            <w:r>
              <w:rPr>
                <w:rFonts w:ascii="Arial" w:hAnsi="Arial"/>
                <w:b/>
                <w:sz w:val="15"/>
              </w:rPr>
              <w:t>Ders / Dönem</w:t>
            </w:r>
          </w:p>
        </w:tc>
        <w:tc>
          <w:tcPr>
            <w:tcW w:type="dxa" w:w="6860"/>
          </w:tcPr>
          <w:p>
            <w:pPr>
              <w:spacing w:after="20"/>
            </w:pPr>
            <w:r/>
            <w:r>
              <w:rPr>
                <w:rFonts w:ascii="Arial" w:hAnsi="Arial"/>
                <w:b w:val="0"/>
                <w:sz w:val="15"/>
              </w:rPr>
              <w:t>Çevre Eğitimi ve İklim Değişikliği (haftada 2 saat) / Ekim 2026</w:t>
            </w:r>
          </w:p>
        </w:tc>
      </w:tr>
      <w:tr>
        <w:tc>
          <w:tcPr>
            <w:tcW w:type="dxa" w:w="2324"/>
          </w:tcPr>
          <w:p>
            <w:pPr>
              <w:spacing w:after="20"/>
            </w:pPr>
            <w:r/>
            <w:r>
              <w:rPr>
                <w:rFonts w:ascii="Arial" w:hAnsi="Arial"/>
                <w:b/>
                <w:sz w:val="15"/>
              </w:rPr>
              <w:t>Ünite</w:t>
            </w:r>
          </w:p>
        </w:tc>
        <w:tc>
          <w:tcPr>
            <w:tcW w:type="dxa" w:w="6860"/>
          </w:tcPr>
          <w:p>
            <w:pPr>
              <w:spacing w:after="20"/>
            </w:pPr>
            <w:r/>
            <w:r>
              <w:rPr>
                <w:rFonts w:ascii="Arial" w:hAnsi="Arial"/>
                <w:b w:val="0"/>
                <w:sz w:val="15"/>
              </w:rPr>
              <w:t>1. ÜNİTE: İNSAN VE DOĞA; 2. ÜNİTE: DÖNGÜSEL DOĞA</w:t>
            </w:r>
          </w:p>
        </w:tc>
      </w:tr>
      <w:tr>
        <w:tc>
          <w:tcPr>
            <w:tcW w:type="dxa" w:w="2324"/>
          </w:tcPr>
          <w:p>
            <w:pPr>
              <w:spacing w:after="20"/>
            </w:pPr>
            <w:r/>
            <w:r>
              <w:rPr>
                <w:rFonts w:ascii="Arial" w:hAnsi="Arial"/>
                <w:b/>
                <w:sz w:val="15"/>
              </w:rPr>
              <w:t>Öğrenme çıktıları</w:t>
            </w:r>
          </w:p>
        </w:tc>
        <w:tc>
          <w:tcPr>
            <w:tcW w:type="dxa" w:w="6860"/>
          </w:tcPr>
          <w:p>
            <w:pPr>
              <w:spacing w:after="20"/>
            </w:pPr>
            <w:r/>
            <w:r>
              <w:rPr>
                <w:rFonts w:ascii="Arial" w:hAnsi="Arial"/>
                <w:b w:val="0"/>
                <w:sz w:val="15"/>
              </w:rPr>
              <w:t>ÇEİD.1.3. Doğal dengenin korunmasına yönelik bilimsel sorgulama yapabilme</w:t>
              <w:br/>
              <w:t>ÇEİD.2.1. Yakın çevresindeki doğal kaynaklara yönelik bilimsel gözlem yapabilme</w:t>
              <w:br/>
              <w:t>ÇEİD.2.2. Yeryüzündeki doğal kaynaklara yönelik bilgi toplayabilme</w:t>
              <w:br/>
              <w:t>ÇEİD.2.3. Doğal kaynakların sürdürülebilirliğinde etkili olan faktörlere ilişkin bilimsel çıkarım yapabilme</w:t>
            </w:r>
          </w:p>
        </w:tc>
      </w:tr>
      <w:tr>
        <w:tc>
          <w:tcPr>
            <w:tcW w:type="dxa" w:w="2324"/>
          </w:tcPr>
          <w:p>
            <w:pPr>
              <w:spacing w:after="20"/>
            </w:pPr>
            <w:r/>
            <w:r>
              <w:rPr>
                <w:rFonts w:ascii="Arial" w:hAnsi="Arial"/>
                <w:b/>
                <w:sz w:val="15"/>
              </w:rPr>
              <w:t>İçerik çerçevesi</w:t>
            </w:r>
          </w:p>
        </w:tc>
        <w:tc>
          <w:tcPr>
            <w:tcW w:type="dxa" w:w="6860"/>
          </w:tcPr>
          <w:p>
            <w:pPr>
              <w:spacing w:after="20"/>
            </w:pPr>
            <w:r/>
            <w:r>
              <w:rPr>
                <w:rFonts w:ascii="Arial" w:hAnsi="Arial"/>
                <w:b w:val="0"/>
                <w:sz w:val="15"/>
              </w:rPr>
              <w:t>Doğal Denge; Doğal Kaynaklar</w:t>
            </w:r>
          </w:p>
        </w:tc>
      </w:tr>
      <w:tr>
        <w:tc>
          <w:tcPr>
            <w:tcW w:type="dxa" w:w="2324"/>
          </w:tcPr>
          <w:p>
            <w:pPr>
              <w:spacing w:after="20"/>
            </w:pPr>
            <w:r/>
            <w:r>
              <w:rPr>
                <w:rFonts w:ascii="Arial" w:hAnsi="Arial"/>
                <w:b/>
                <w:sz w:val="15"/>
              </w:rPr>
              <w:t>Beceri odağı</w:t>
            </w:r>
          </w:p>
        </w:tc>
        <w:tc>
          <w:tcPr>
            <w:tcW w:type="dxa" w:w="6860"/>
          </w:tcPr>
          <w:p>
            <w:pPr>
              <w:spacing w:after="20"/>
            </w:pPr>
            <w:r/>
            <w:r>
              <w:rPr>
                <w:rFonts w:ascii="Arial" w:hAnsi="Arial"/>
                <w:b w:val="0"/>
                <w:sz w:val="15"/>
              </w:rPr>
              <w:t>Bilimsel gözlem, bilgi toplama, bilimsel çıkarım, sorgulama, problem çözme, tartışma ve kanıta dayalı karar verme (ilgili öğrenme çıktılarına göre).</w:t>
            </w:r>
          </w:p>
        </w:tc>
      </w:tr>
    </w:tbl>
    <w:p>
      <w:pPr>
        <w:jc w:val="left"/>
      </w:pPr>
      <w:r>
        <w:rPr>
          <w:rFonts w:ascii="Arial" w:hAnsi="Arial"/>
          <w:b/>
          <w:sz w:val="19"/>
        </w:rPr>
        <w:t>2. PROGRAMLAR ARASI BİLEŞENLER</w:t>
      </w:r>
    </w:p>
    <w:tbl>
      <w:tblPr>
        <w:tblStyle w:val="TableGrid"/>
        <w:tblW w:type="auto" w:w="0"/>
        <w:tblLayout w:type="fixed"/>
        <w:tblLook w:firstColumn="1" w:firstRow="1" w:lastColumn="0" w:lastRow="0" w:noHBand="0" w:noVBand="1" w:val="04A0"/>
      </w:tblPr>
      <w:tblGrid>
        <w:gridCol w:w="2324"/>
        <w:gridCol w:w="6860"/>
      </w:tblGrid>
      <w:tr>
        <w:tc>
          <w:tcPr>
            <w:tcW w:type="dxa" w:w="2324"/>
          </w:tcPr>
          <w:p>
            <w:pPr>
              <w:spacing w:after="20"/>
            </w:pPr>
            <w:r/>
            <w:r>
              <w:rPr>
                <w:rFonts w:ascii="Arial" w:hAnsi="Arial"/>
                <w:b/>
                <w:sz w:val="15"/>
              </w:rPr>
              <w:t>Sosyal-duygusal beceriler</w:t>
            </w:r>
          </w:p>
        </w:tc>
        <w:tc>
          <w:tcPr>
            <w:tcW w:type="dxa" w:w="6860"/>
          </w:tcPr>
          <w:p>
            <w:pPr>
              <w:spacing w:after="20"/>
            </w:pPr>
            <w:r/>
            <w:r>
              <w:rPr>
                <w:rFonts w:ascii="Arial" w:hAnsi="Arial"/>
                <w:b w:val="0"/>
                <w:sz w:val="15"/>
              </w:rPr>
              <w:t>SDB1.2, SDB2.1, SDB2.2, SDB2.3, SDB3.3, SDB1.3, SDB3.2 (öz düzenleme, iletişim, iş birliği ve sorumlu karar verme gibi ilgili bileşenler)</w:t>
            </w:r>
          </w:p>
        </w:tc>
      </w:tr>
      <w:tr>
        <w:tc>
          <w:tcPr>
            <w:tcW w:type="dxa" w:w="2324"/>
          </w:tcPr>
          <w:p>
            <w:pPr>
              <w:spacing w:after="20"/>
            </w:pPr>
            <w:r/>
            <w:r>
              <w:rPr>
                <w:rFonts w:ascii="Arial" w:hAnsi="Arial"/>
                <w:b/>
                <w:sz w:val="15"/>
              </w:rPr>
              <w:t>Değerler</w:t>
            </w:r>
          </w:p>
        </w:tc>
        <w:tc>
          <w:tcPr>
            <w:tcW w:type="dxa" w:w="6860"/>
          </w:tcPr>
          <w:p>
            <w:pPr>
              <w:spacing w:after="20"/>
            </w:pPr>
            <w:r/>
            <w:r>
              <w:rPr>
                <w:rFonts w:ascii="Arial" w:hAnsi="Arial"/>
                <w:b w:val="0"/>
                <w:sz w:val="15"/>
              </w:rPr>
              <w:t>D3., D5., D6., D9., D13., D14., D16., D18., D19., D7., D11., D15., D17. (yıllık planın ilgili ünite değerleri)</w:t>
            </w:r>
          </w:p>
        </w:tc>
      </w:tr>
      <w:tr>
        <w:tc>
          <w:tcPr>
            <w:tcW w:type="dxa" w:w="2324"/>
          </w:tcPr>
          <w:p>
            <w:pPr>
              <w:spacing w:after="20"/>
            </w:pPr>
            <w:r/>
            <w:r>
              <w:rPr>
                <w:rFonts w:ascii="Arial" w:hAnsi="Arial"/>
                <w:b/>
                <w:sz w:val="15"/>
              </w:rPr>
              <w:t>Okuryazarlık becerileri</w:t>
            </w:r>
          </w:p>
        </w:tc>
        <w:tc>
          <w:tcPr>
            <w:tcW w:type="dxa" w:w="6860"/>
          </w:tcPr>
          <w:p>
            <w:pPr>
              <w:spacing w:after="20"/>
            </w:pPr>
            <w:r/>
            <w:r>
              <w:rPr>
                <w:rFonts w:ascii="Arial" w:hAnsi="Arial"/>
                <w:b w:val="0"/>
                <w:sz w:val="15"/>
              </w:rPr>
              <w:t>OB1., OB4., OB5., OB6., OB7., OB8., OB2. (bilgi, veri, dijital ve sürdürülebilirlik okuryazarlığı gibi ilgili bileşenler)</w:t>
            </w:r>
          </w:p>
        </w:tc>
      </w:tr>
      <w:tr>
        <w:tc>
          <w:tcPr>
            <w:tcW w:type="dxa" w:w="2324"/>
          </w:tcPr>
          <w:p>
            <w:pPr>
              <w:spacing w:after="20"/>
            </w:pPr>
            <w:r/>
            <w:r>
              <w:rPr>
                <w:rFonts w:ascii="Arial" w:hAnsi="Arial"/>
                <w:b/>
                <w:sz w:val="15"/>
              </w:rPr>
              <w:t>Yöntem ve teknikler</w:t>
            </w:r>
          </w:p>
        </w:tc>
        <w:tc>
          <w:tcPr>
            <w:tcW w:type="dxa" w:w="6860"/>
          </w:tcPr>
          <w:p>
            <w:pPr>
              <w:spacing w:after="20"/>
            </w:pPr>
            <w:r/>
            <w:r>
              <w:rPr>
                <w:rFonts w:ascii="Arial" w:hAnsi="Arial"/>
                <w:b w:val="0"/>
                <w:sz w:val="15"/>
              </w:rPr>
              <w:t>Araştırma-sorgulama, tartışma, gözlem, problem temelli öğrenme, grup çalışması, ürün geliştirme.</w:t>
            </w:r>
          </w:p>
        </w:tc>
      </w:tr>
    </w:tbl>
    <w:p>
      <w:pPr>
        <w:jc w:val="left"/>
      </w:pPr>
      <w:r>
        <w:rPr>
          <w:rFonts w:ascii="Arial" w:hAnsi="Arial"/>
          <w:b/>
          <w:sz w:val="19"/>
        </w:rPr>
        <w:t>3. ÖĞRENME-ÖĞRETME SÜRECİ</w:t>
      </w:r>
    </w:p>
    <w:p>
      <w:pPr>
        <w:jc w:val="left"/>
      </w:pPr>
      <w:r>
        <w:rPr>
          <w:rFonts w:ascii="Arial" w:hAnsi="Arial"/>
          <w:b w:val="0"/>
          <w:sz w:val="17"/>
        </w:rPr>
        <w:t>05-09 Ekim (4. Hafta): Doğal Denge konusunda ÇEİD.1.3. Doğal dengenin korunmasına yönelik bilimsel sorgulama yapabilme öğrenme çıktısı ele alınmıştır. Süreçte ç) Doğal dengenin korunmasına yönelik elde ettiği verileri analiz ederek yorumlar. d) Doğal dengenin korunmasına yönelik kanıta dayalı açıklama yapar ve çözüm üretir. e) Doğal Öğrencilerin görüşlerini gerekçelendirmeleri ve elde ettikleri verileri paylaşmaları desteklenmiştir.</w:t>
      </w:r>
    </w:p>
    <w:p>
      <w:pPr>
        <w:jc w:val="left"/>
      </w:pPr>
      <w:r>
        <w:rPr>
          <w:rFonts w:ascii="Arial" w:hAnsi="Arial"/>
          <w:b w:val="0"/>
          <w:sz w:val="17"/>
        </w:rPr>
        <w:t>12-16 Ekim (5. Hafta): Doğal Kaynaklar konusunda ÇEİD.2.1. Yakın çevresindeki doğal kaynaklara yönelik bilimsel gözlem yapabilme öğrenme çıktısı ele alınmıştır. Süreçte a) Doğal kaynaklara yönelik nitelikleri tanımlar. b) Yakın çevresindeki doğal kaynaklara yönelik veri toplar ve kaydeder. c) Yakın çevresindeki doğal kaynaklara yönelik ulaştı Öğrencilerin görüşlerini gerekçelendirmeleri ve elde ettikleri verileri paylaşmaları desteklenmiştir.</w:t>
      </w:r>
    </w:p>
    <w:p>
      <w:pPr>
        <w:jc w:val="left"/>
      </w:pPr>
      <w:r>
        <w:rPr>
          <w:rFonts w:ascii="Arial" w:hAnsi="Arial"/>
          <w:b w:val="0"/>
          <w:sz w:val="17"/>
        </w:rPr>
        <w:t>19-23 Ekim (6. Hafta): Doğal Kaynaklar konusunda ÇEİD.2.2. Yeryüzündeki doğal kaynaklara yönelik bilgi toplayabilme öğrenme çıktısı ele alınmıştır. Süreçte a) Yeryüzündeki doğal kaynakları araştırmak için kullanacağı araçları belirler. b) Belirlediği araçları kullanarak yeryüzündeki doğal kaynaklara ilişkin bilgileri bulur. c) Ye Öğrencilerin görüşlerini gerekçelendirmeleri ve elde ettikleri verileri paylaşmaları desteklenmiştir.</w:t>
      </w:r>
    </w:p>
    <w:p>
      <w:pPr>
        <w:jc w:val="left"/>
      </w:pPr>
      <w:r>
        <w:rPr>
          <w:rFonts w:ascii="Arial" w:hAnsi="Arial"/>
          <w:b w:val="0"/>
          <w:sz w:val="17"/>
        </w:rPr>
        <w:t>26-30 Ekim (7. Hafta): Doğal Kaynaklar konusunda ÇEİD.2.3. Doğal kaynakların sürdürülebilirliğinde etkili olan faktörlere ilişkin bilimsel çıkarım yapabilme öğrenme çıktısı ele alınmıştır. Süreçte a) Doğal kaynakların sürdürülebilirliğine ilişkin nitelikleri tanımlar. b) Doğal kaynakların sürdürülebilirliğinde madde döngüleri ve enerji akışının önemine yönelik verileri Öğrencilerin görüşlerini gerekçelendirmeleri ve elde ettikleri verileri paylaşmaları desteklenmiştir.</w:t>
      </w:r>
    </w:p>
    <w:p>
      <w:pPr>
        <w:jc w:val="left"/>
      </w:pPr>
      <w:r>
        <w:rPr>
          <w:rFonts w:ascii="Arial" w:hAnsi="Arial"/>
          <w:b/>
          <w:sz w:val="19"/>
        </w:rPr>
        <w:t>4. ARAŞTIRMA GÖREVLERİ VE ÖĞRENME KANITLARI</w:t>
      </w:r>
    </w:p>
    <w:p>
      <w:pPr>
        <w:jc w:val="left"/>
      </w:pPr>
      <w:r>
        <w:rPr>
          <w:rFonts w:ascii="Arial" w:hAnsi="Arial"/>
          <w:b w:val="0"/>
          <w:sz w:val="17"/>
        </w:rPr>
        <w:t>Doğal denge, doğal kaynaklar konularıyla ilgili yakın çevreden örnekler, veri toplama ve kaynak inceleme görevleri üzerinde durulmuştur. Öğrenci ürünleri için gözlem formu, kısa araştırma raporu, poster, broşür veya eko-dijital ürün dosyası gibi seçenekler değerlendirilmiştir.</w:t>
      </w:r>
    </w:p>
    <w:p>
      <w:pPr>
        <w:jc w:val="left"/>
      </w:pPr>
      <w:r>
        <w:rPr>
          <w:rFonts w:ascii="Arial" w:hAnsi="Arial"/>
          <w:b/>
          <w:sz w:val="19"/>
        </w:rPr>
        <w:t>5. GÖZLEM, ÖLÇME VE DEĞERLENDİRME</w:t>
      </w:r>
    </w:p>
    <w:p>
      <w:pPr>
        <w:jc w:val="left"/>
      </w:pPr>
      <w:r>
        <w:rPr>
          <w:rFonts w:ascii="Arial" w:hAnsi="Arial"/>
          <w:b w:val="0"/>
          <w:sz w:val="17"/>
        </w:rPr>
        <w:t>Öğrenme çıktılarının izlenmesinde açık uçlu sorular, çalışma yaprakları, tanılayıcı dallanmış ağaç, yapılandırılmış grid ve performans görevleri gibi programda önerilen araçlardan yararlanılması esas alınmıştır. Ürünlerin değerlendirilmesinde analitik dereceli puanlama anahtarı ve geliştirici geri bildirimler öne çıkarılmıştır.</w:t>
      </w:r>
    </w:p>
    <w:p>
      <w:pPr>
        <w:jc w:val="left"/>
      </w:pPr>
      <w:r>
        <w:rPr>
          <w:rFonts w:ascii="Arial" w:hAnsi="Arial"/>
          <w:b/>
          <w:sz w:val="19"/>
        </w:rPr>
        <w:t>6. ZENGİNLEŞTİRME</w:t>
      </w:r>
    </w:p>
    <w:p>
      <w:pPr>
        <w:jc w:val="left"/>
      </w:pPr>
      <w:r>
        <w:rPr>
          <w:rFonts w:ascii="Arial" w:hAnsi="Arial"/>
          <w:b w:val="0"/>
          <w:sz w:val="17"/>
        </w:rPr>
        <w:t>İleri düzey araştırma yapmak isteyen öğrenciler için yerel çevre sorunlarını karşılaştırma, güvenilir kaynaklardan veri derleme, çevresel çözüm önerilerini kanıtlarla savunma ve özgün farkındalık materyalleri hazırlama çalışmaları planlanmıştır.</w:t>
      </w:r>
    </w:p>
    <w:p>
      <w:pPr>
        <w:jc w:val="left"/>
      </w:pPr>
      <w:r>
        <w:rPr>
          <w:rFonts w:ascii="Arial" w:hAnsi="Arial"/>
          <w:b/>
          <w:sz w:val="19"/>
        </w:rPr>
        <w:t>7. DESTEKLEME</w:t>
      </w:r>
    </w:p>
    <w:p>
      <w:pPr>
        <w:jc w:val="left"/>
      </w:pPr>
      <w:r>
        <w:rPr>
          <w:rFonts w:ascii="Arial" w:hAnsi="Arial"/>
          <w:b w:val="0"/>
          <w:sz w:val="17"/>
        </w:rPr>
        <w:t>Ek desteğe ihtiyaç duyan öğrenciler için görsel örnekler, kısa ve açık yönergeler, kavram eşleştirme kartları, aşamalı araştırma soruları ve akran desteğiyle katılımın kolaylaştırılması hedeflenmiştir.</w:t>
      </w:r>
    </w:p>
    <w:p>
      <w:pPr>
        <w:jc w:val="left"/>
      </w:pPr>
      <w:r>
        <w:rPr>
          <w:rFonts w:ascii="Arial" w:hAnsi="Arial"/>
          <w:b/>
          <w:sz w:val="19"/>
        </w:rPr>
        <w:t>8. AYLIK GENEL DEĞERLENDİRME</w:t>
      </w:r>
    </w:p>
    <w:p>
      <w:pPr>
        <w:jc w:val="left"/>
      </w:pPr>
      <w:r>
        <w:rPr>
          <w:rFonts w:ascii="Arial" w:hAnsi="Arial"/>
          <w:b w:val="0"/>
          <w:sz w:val="17"/>
        </w:rPr>
        <w:t>Ekim ayı öğretim süreci; çevreye duyarlılık, sürdürülebilirlik bilinci, bilimsel veriyi yorumlama, iş birliği ve sorumlu karar verme becerileri açısından değerlendirilmiştir. Öğrenci ürünlerinden elde edilen bulguların izleyen ayın öğretim sürecinin planlanmasında kullanılması öngörülmüştür.</w:t>
      </w:r>
    </w:p>
    <w:p>
      <w:pPr>
        <w:jc w:val="left"/>
      </w:pPr>
      <w:r>
        <w:rPr>
          <w:rFonts w:ascii="Arial" w:hAnsi="Arial"/>
          <w:b w:val="0"/>
          <w:sz w:val="17"/>
        </w:rPr>
        <w:t>Tarih: 01.11.2026</w:t>
      </w:r>
    </w:p>
    <w:p>
      <w:pPr>
        <w:jc w:val="center"/>
      </w:pPr>
      <w:r>
        <w:rPr>
          <w:rFonts w:ascii="Arial" w:hAnsi="Arial"/>
          <w:b/>
          <w:sz w:val="18"/>
        </w:rPr>
        <w:t>Dersi Okutan Öğretmen                                   Okul Müdürü</w:t>
      </w:r>
    </w:p>
    <w:p>
      <w:pPr>
        <w:jc w:val="center"/>
      </w:pPr>
      <w:r>
        <w:rPr>
          <w:rFonts w:ascii="Arial" w:hAnsi="Arial"/>
          <w:b w:val="0"/>
          <w:sz w:val="17"/>
        </w:rPr>
        <w:t>Adı Soyadı / İmza                                         Adı Soyadı / İmza</w:t>
      </w:r>
    </w:p>
    <w:sectPr w:rsidR="00FC693F" w:rsidRPr="0006063C" w:rsidSect="00034616">
      <w:pgSz w:w="12240" w:h="15840"/>
      <w:pgMar w:top="652" w:right="992" w:bottom="624"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0"/>
    </w:pPr>
    <w:rPr>
      <w:rFonts w:ascii="Arial" w:hAnsi="Arial"/>
      <w:sz w:val="17"/>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