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jc w:val="center"/>
        <w:spacing w:before="0" w:after="60"/>
      </w:pPr>
      <w:r>
        <w:rPr>
          <w:rFonts w:ascii="Calibri" w:hAnsi="Calibri"/>
          <w:b/>
          <w:i w:val="0"/>
          <w:color w:val="228B22"/>
          <w:sz w:val="22"/>
        </w:rPr>
        <w:t>2025-2026 EĞİTİM ÖĞRETİM YILI  MERYEM-MEHMET KAPLAN KIZ ANADOLU İMAM HATİP LİSESİ</w:t>
        <w:br/>
        <w:t>SOSYAL BİLGİLER DERSİ  2. DÖNEM   2. YAZILI SINAVI  –  CEVAP ANAHTARI</w:t>
      </w:r>
    </w:p>
    <w:p>
      <w:pPr>
        <w:spacing w:before="80" w:after="40"/>
        <w:pBdr>
          <w:left w:val="single" w:sz="12" w:space="4" w:color="228B22"/>
        </w:pBdr>
        <w:shd w:val="clear" w:color="auto" w:fill="F0F0F0"/>
      </w:pPr>
      <w:r>
        <w:rPr>
          <w:rFonts w:ascii="Calibri" w:hAnsi="Calibri"/>
          <w:b/>
          <w:color w:val="3C3C3C"/>
          <w:sz w:val="17"/>
        </w:rPr>
        <w:t>✍ Soruyu cevaplayınız.</w:t>
      </w:r>
    </w:p>
    <w:p>
      <w:pPr>
        <w:spacing w:before="60" w:after="20" w:line="240" w:lineRule="auto"/>
      </w:pPr>
      <w:r>
        <w:rPr>
          <w:rFonts w:ascii="Calibri" w:hAnsi="Calibri"/>
          <w:b/>
          <w:i w:val="0"/>
          <w:color w:val="141414"/>
          <w:sz w:val="18"/>
        </w:rPr>
        <w:t xml:space="preserve">1) </w:t>
      </w:r>
      <w:r>
        <w:rPr>
          <w:rFonts w:ascii="Calibri" w:hAnsi="Calibri"/>
          <w:b/>
          <w:i w:val="0"/>
          <w:color w:val="141414"/>
          <w:sz w:val="18"/>
        </w:rPr>
        <w:t>Bir vatandaş, daha önce yaptırdığı laboratuvar tahlil sonuçlarını görmek, radyoloji görüntülerini incelemek ve aşı takvimini takip etmek için bir dijital sisteme giriş yapmaktadır. Bu vatandaşın kullandığı sistemin adı nedir?</w:t>
      </w:r>
      <w:r>
        <w:rPr>
          <w:rFonts w:ascii="Calibri" w:hAnsi="Calibri"/>
          <w:b w:val="0"/>
          <w:i/>
          <w:color w:val="8B0000"/>
          <w:sz w:val="15"/>
        </w:rPr>
        <w:t xml:space="preserve">  [20 Puan | SB.6.4.3.]</w:t>
      </w:r>
    </w:p>
    <w:p>
      <w:pPr>
        <w:spacing w:before="40" w:after="80" w:line="240" w:lineRule="auto"/>
      </w:pPr>
      <w:r>
        <w:rPr>
          <w:rFonts w:ascii="Calibri" w:hAnsi="Calibri"/>
          <w:b/>
          <w:i w:val="0"/>
          <w:color w:val="008000"/>
          <w:sz w:val="18"/>
        </w:rPr>
        <w:t xml:space="preserve">[ CEVAP ] </w:t>
      </w:r>
      <w:r>
        <w:rPr>
          <w:rFonts w:ascii="Calibri" w:hAnsi="Calibri"/>
          <w:b w:val="0"/>
          <w:i w:val="0"/>
          <w:color w:val="008000"/>
          <w:sz w:val="18"/>
        </w:rPr>
        <w:t>e-Nabız</w:t>
      </w:r>
    </w:p>
    <w:p>
      <w:pPr>
        <w:spacing w:before="60" w:after="20" w:line="240" w:lineRule="auto"/>
      </w:pPr>
      <w:r>
        <w:rPr>
          <w:rFonts w:ascii="Calibri" w:hAnsi="Calibri"/>
          <w:b/>
          <w:i w:val="0"/>
          <w:color w:val="141414"/>
          <w:sz w:val="18"/>
        </w:rPr>
        <w:t xml:space="preserve">2) </w:t>
      </w:r>
      <w:r>
        <w:rPr>
          <w:rFonts w:ascii="Calibri" w:hAnsi="Calibri"/>
          <w:b/>
          <w:i w:val="0"/>
          <w:color w:val="141414"/>
          <w:sz w:val="18"/>
        </w:rPr>
        <w:t>Doğu Anadolu Bölgesi’nde yaşayan Mert, yaz tatilinde amcasının yanına giderken nehirlerin çok derin vadilerden ve çok hızlı aktığını fark eder. Amcası Mert’e, bu bölgedeki nehirlerin üzerine devasa barajlar kurulduğunu ve bu barajların Türkiye’nin elektrik ihtiyacının büyük bir kısmını karşıladığını anlatır.</w:t>
      </w:r>
      <w:r>
        <w:rPr>
          <w:rFonts w:ascii="Calibri" w:hAnsi="Calibri"/>
          <w:b w:val="0"/>
          <w:i/>
          <w:color w:val="8B0000"/>
          <w:sz w:val="15"/>
        </w:rPr>
        <w:t xml:space="preserve">  [20 Puan | SB.6.5.1.]</w:t>
      </w:r>
    </w:p>
    <w:p>
      <w:pPr>
        <w:spacing w:before="0" w:after="0" w:line="240" w:lineRule="auto"/>
      </w:pPr>
      <w:r>
        <w:rPr>
          <w:rFonts w:ascii="Calibri" w:hAnsi="Calibri"/>
          <w:b w:val="0"/>
          <w:i w:val="0"/>
          <w:color w:val="141414"/>
          <w:sz w:val="18"/>
        </w:rPr>
        <w:t xml:space="preserve">    Yukarıda verilen bilgilere dayanarak:</w:t>
      </w:r>
    </w:p>
    <w:p>
      <w:pPr>
        <w:spacing w:before="0" w:after="0" w:line="240" w:lineRule="auto"/>
      </w:pPr>
      <w:r>
        <w:rPr>
          <w:rFonts w:ascii="Calibri" w:hAnsi="Calibri"/>
          <w:b w:val="0"/>
          <w:i w:val="0"/>
          <w:color w:val="141414"/>
          <w:sz w:val="18"/>
        </w:rPr>
        <w:t xml:space="preserve">    a) Mert’in gördüğü, akarsuların akış hızından yararlanarak üretilen bu enerji türüne ne ad verilir?</w:t>
      </w:r>
    </w:p>
    <w:p>
      <w:pPr>
        <w:spacing w:before="0" w:after="0" w:line="240" w:lineRule="auto"/>
      </w:pPr>
      <w:r>
        <w:rPr>
          <w:rFonts w:ascii="Calibri" w:hAnsi="Calibri"/>
          <w:b w:val="0"/>
          <w:i w:val="0"/>
          <w:color w:val="141414"/>
          <w:sz w:val="18"/>
        </w:rPr>
        <w:t xml:space="preserve">    b) Doğu Anadolu Bölgesi’nin hangi fiziki özelliği bu enerji türünün üretimi için nehirlerin bu kadar uygun olmasını sağlamıştır?</w:t>
      </w:r>
    </w:p>
    <w:p>
      <w:pPr>
        <w:spacing w:before="40" w:after="80" w:line="240" w:lineRule="auto"/>
      </w:pPr>
      <w:r>
        <w:rPr>
          <w:rFonts w:ascii="Calibri" w:hAnsi="Calibri"/>
          <w:b/>
          <w:i w:val="0"/>
          <w:color w:val="008000"/>
          <w:sz w:val="18"/>
        </w:rPr>
        <w:t xml:space="preserve">[ CEVAP ] </w:t>
      </w:r>
      <w:r>
        <w:rPr>
          <w:rFonts w:ascii="Calibri" w:hAnsi="Calibri"/>
          <w:b w:val="0"/>
          <w:i w:val="0"/>
          <w:color w:val="008000"/>
          <w:sz w:val="18"/>
        </w:rPr>
        <w:t>a) Hidroelektrik Enerji b) Bölgenin dağlık ve engebeli olması. Bu durum akarsuların akış hızını artırır</w:t>
      </w:r>
    </w:p>
    <w:p>
      <w:pPr>
        <w:spacing w:before="60" w:after="20" w:line="240" w:lineRule="auto"/>
      </w:pPr>
      <w:r>
        <w:rPr>
          <w:rFonts w:ascii="Calibri" w:hAnsi="Calibri"/>
          <w:b/>
          <w:i w:val="0"/>
          <w:color w:val="141414"/>
          <w:sz w:val="18"/>
        </w:rPr>
        <w:t xml:space="preserve">3) </w:t>
      </w:r>
      <w:r>
        <w:rPr>
          <w:rFonts w:ascii="Calibri" w:hAnsi="Calibri"/>
          <w:b/>
          <w:i w:val="0"/>
          <w:color w:val="141414"/>
          <w:sz w:val="18"/>
        </w:rPr>
        <w:t>Ülkemizde ormanlar bakımından Karadeniz kıyıları oldukça zengindir. Ormanlar bakımından zengin olan Karadeniz kıyılarında ormana bağlı ekonomik faaliyetler yapılmaktadır.</w:t>
      </w:r>
      <w:r>
        <w:rPr>
          <w:rFonts w:ascii="Calibri" w:hAnsi="Calibri"/>
          <w:b w:val="0"/>
          <w:i/>
          <w:color w:val="8B0000"/>
          <w:sz w:val="15"/>
        </w:rPr>
        <w:t xml:space="preserve">  [20 Puan | SB.6.5.1.]</w:t>
      </w:r>
    </w:p>
    <w:p>
      <w:pPr>
        <w:spacing w:before="40" w:after="80" w:line="240" w:lineRule="auto"/>
      </w:pPr>
      <w:r>
        <w:rPr>
          <w:rFonts w:ascii="Calibri" w:hAnsi="Calibri"/>
          <w:b/>
          <w:i w:val="0"/>
          <w:color w:val="008000"/>
          <w:sz w:val="18"/>
        </w:rPr>
        <w:t xml:space="preserve">[ CEVAP ] </w:t>
      </w:r>
      <w:r>
        <w:rPr>
          <w:rFonts w:ascii="Calibri" w:hAnsi="Calibri"/>
          <w:b w:val="0"/>
          <w:i w:val="0"/>
          <w:color w:val="008000"/>
          <w:sz w:val="18"/>
        </w:rPr>
        <w:t>Ormancılık ve arıcılık.</w:t>
      </w:r>
    </w:p>
    <w:p>
      <w:pPr>
        <w:spacing w:before="60" w:after="20" w:line="240" w:lineRule="auto"/>
      </w:pPr>
      <w:r>
        <w:rPr>
          <w:rFonts w:ascii="Calibri" w:hAnsi="Calibri"/>
          <w:b/>
          <w:i w:val="0"/>
          <w:color w:val="141414"/>
          <w:sz w:val="18"/>
        </w:rPr>
        <w:t xml:space="preserve">4) </w:t>
      </w:r>
      <w:r>
        <w:rPr>
          <w:rFonts w:ascii="Calibri" w:hAnsi="Calibri"/>
          <w:b/>
          <w:i w:val="0"/>
          <w:color w:val="141414"/>
          <w:sz w:val="18"/>
        </w:rPr>
        <w:t>Ege kıyıları ülkemizde doğal varlıkların ve tarihî yapıların çok olduğu bir yerdir. Uzun sahil şeridi ve uzun süren yaz mevsimi bu bölgede turizmin gelişmesine katkıda bulunmuştur. Bakırçay, Gediz, Küçük Menderes gibi akarsuların beslediği verimli ovalar ise bu çevrede birçok tarım ürününün yetişmesine imkân sağlamıştır.</w:t>
      </w:r>
      <w:r>
        <w:rPr>
          <w:rFonts w:ascii="Calibri" w:hAnsi="Calibri"/>
          <w:b w:val="0"/>
          <w:i/>
          <w:color w:val="8B0000"/>
          <w:sz w:val="15"/>
        </w:rPr>
        <w:t xml:space="preserve">  [20 Puan | SB.6.5.2.]</w:t>
      </w:r>
    </w:p>
    <w:p>
      <w:pPr>
        <w:spacing w:before="0" w:after="0" w:line="240" w:lineRule="auto"/>
      </w:pPr>
      <w:r>
        <w:rPr>
          <w:rFonts w:ascii="Calibri" w:hAnsi="Calibri"/>
          <w:b w:val="0"/>
          <w:i w:val="0"/>
          <w:color w:val="141414"/>
          <w:sz w:val="18"/>
        </w:rPr>
        <w:t xml:space="preserve">    Buna göre bu bölgede hangi mesleklerin gelişmesi beklenir? Yazınız.</w:t>
      </w:r>
    </w:p>
    <w:p>
      <w:pPr>
        <w:spacing w:before="40" w:after="80" w:line="240" w:lineRule="auto"/>
      </w:pPr>
      <w:r>
        <w:rPr>
          <w:rFonts w:ascii="Calibri" w:hAnsi="Calibri"/>
          <w:b/>
          <w:i w:val="0"/>
          <w:color w:val="008000"/>
          <w:sz w:val="18"/>
        </w:rPr>
        <w:t xml:space="preserve">[ CEVAP ] </w:t>
      </w:r>
      <w:r>
        <w:rPr>
          <w:rFonts w:ascii="Calibri" w:hAnsi="Calibri"/>
          <w:b w:val="0"/>
          <w:i w:val="0"/>
          <w:color w:val="008000"/>
          <w:sz w:val="18"/>
        </w:rPr>
        <w:t>Turist rehberliği, turizm işletmeciliği, otel müdürlüğü, ziraat mühendisliği, çiftçilik vb. (Konuyla ilgili diğer doğru cevaplar da puanlanabilir.)</w:t>
      </w:r>
    </w:p>
    <w:p>
      <w:pPr>
        <w:spacing w:before="80" w:after="40"/>
        <w:pBdr>
          <w:left w:val="single" w:sz="12" w:space="4" w:color="228B22"/>
        </w:pBdr>
        <w:shd w:val="clear" w:color="auto" w:fill="F0F0F0"/>
      </w:pPr>
      <w:r>
        <w:rPr>
          <w:rFonts w:ascii="Calibri" w:hAnsi="Calibri"/>
          <w:b/>
          <w:color w:val="3C3C3C"/>
          <w:sz w:val="17"/>
        </w:rPr>
        <w:t>⇄ Kavramları eşleştiriniz.</w:t>
      </w:r>
    </w:p>
    <w:p>
      <w:pPr>
        <w:spacing w:before="60" w:after="20" w:line="240" w:lineRule="auto"/>
      </w:pPr>
      <w:r>
        <w:rPr>
          <w:rFonts w:ascii="Calibri" w:hAnsi="Calibri"/>
          <w:b/>
          <w:i w:val="0"/>
          <w:color w:val="141414"/>
          <w:sz w:val="18"/>
        </w:rPr>
        <w:t xml:space="preserve">5) </w:t>
      </w:r>
      <w:r>
        <w:rPr>
          <w:rFonts w:ascii="Calibri" w:hAnsi="Calibri"/>
          <w:b/>
          <w:i w:val="0"/>
          <w:color w:val="141414"/>
          <w:sz w:val="18"/>
        </w:rPr>
        <w:t>Aşağıda verilen tanımları doğru kelimelerle eşleştiriniz.</w:t>
      </w:r>
      <w:r>
        <w:rPr>
          <w:rFonts w:ascii="Calibri" w:hAnsi="Calibri"/>
          <w:b w:val="0"/>
          <w:i/>
          <w:color w:val="8B0000"/>
          <w:sz w:val="15"/>
        </w:rPr>
        <w:t xml:space="preserve">  [20 Puan | SB.6.5.3.]</w:t>
      </w:r>
    </w:p>
    <w:tbl>
      <w:tblPr>
        <w:tblStyle w:val="TableGrid"/>
        <w:tblW w:type="auto" w:w="0"/>
        <w:tblLayout w:type="fixed"/>
        <w:tblLook w:firstColumn="1" w:firstRow="1" w:lastColumn="0" w:lastRow="0" w:noHBand="0" w:noVBand="1" w:val="04A0"/>
        <w:tblW w:w="5000" w:type="pct"/>
      </w:tblPr>
      <w:tblGrid>
        <w:gridCol w:w="5613"/>
        <w:gridCol w:w="5613"/>
      </w:tblGrid>
      <w:tr>
        <w:tc>
          <w:tcPr>
            <w:tcW w:type="dxa" w:w="5613"/>
            <w:shd w:val="clear" w:color="auto" w:fill="FFFFFF"/>
            <w:vAlign w:val="center"/>
          </w:tcPr>
          <w:p>
            <w:pPr>
              <w:spacing w:before="40" w:after="40"/>
            </w:pPr>
            <w:r>
              <w:t>Yapılan veya üretilen ürünlerin kullanılıp harcanmasıdır.</w:t>
            </w:r>
          </w:p>
        </w:tc>
        <w:tc>
          <w:tcPr>
            <w:tcW w:type="dxa" w:w="5613"/>
            <w:shd w:val="clear" w:color="auto" w:fill="FFFFFF"/>
            <w:vAlign w:val="center"/>
          </w:tcPr>
          <w:p>
            <w:pPr>
              <w:spacing w:before="40" w:after="40"/>
            </w:pPr>
            <w:r>
              <w:t>1) Tüketim</w:t>
            </w:r>
          </w:p>
        </w:tc>
      </w:tr>
      <w:tr>
        <w:tc>
          <w:tcPr>
            <w:tcW w:type="dxa" w:w="5613"/>
            <w:shd w:val="clear" w:color="auto" w:fill="F2F2F2"/>
            <w:vAlign w:val="center"/>
          </w:tcPr>
          <w:p>
            <w:pPr>
              <w:spacing w:before="40" w:after="40"/>
            </w:pPr>
            <w:r>
              <w:t>Ürün ve hizmetlerin tanıtılması, müşterilere sunulması ve satışının gerçekleştirilmesi süreçleridir.</w:t>
            </w:r>
          </w:p>
        </w:tc>
        <w:tc>
          <w:tcPr>
            <w:tcW w:type="dxa" w:w="5613"/>
            <w:shd w:val="clear" w:color="auto" w:fill="F2F2F2"/>
            <w:vAlign w:val="center"/>
          </w:tcPr>
          <w:p>
            <w:pPr>
              <w:spacing w:before="40" w:after="40"/>
            </w:pPr>
            <w:r>
              <w:t>2) Pazarlama</w:t>
            </w:r>
          </w:p>
        </w:tc>
      </w:tr>
      <w:tr>
        <w:tc>
          <w:tcPr>
            <w:tcW w:type="dxa" w:w="5613"/>
            <w:shd w:val="clear" w:color="auto" w:fill="FFFFFF"/>
            <w:vAlign w:val="center"/>
          </w:tcPr>
          <w:p>
            <w:pPr>
              <w:spacing w:before="40" w:after="40"/>
            </w:pPr>
            <w:r>
              <w:t>Bir ticaret işinin kurulması, yürütülmesi için gereken anapara ve paraya çevrilebilir malların tamamıdır.</w:t>
            </w:r>
          </w:p>
        </w:tc>
        <w:tc>
          <w:tcPr>
            <w:tcW w:type="dxa" w:w="5613"/>
            <w:shd w:val="clear" w:color="auto" w:fill="FFFFFF"/>
            <w:vAlign w:val="center"/>
          </w:tcPr>
          <w:p>
            <w:pPr>
              <w:spacing w:before="40" w:after="40"/>
            </w:pPr>
            <w:r>
              <w:t>3) Sermaye</w:t>
            </w:r>
          </w:p>
        </w:tc>
      </w:tr>
      <w:tr>
        <w:tc>
          <w:tcPr>
            <w:tcW w:type="dxa" w:w="5613"/>
            <w:shd w:val="clear" w:color="auto" w:fill="F2F2F2"/>
            <w:vAlign w:val="center"/>
          </w:tcPr>
          <w:p>
            <w:pPr>
              <w:spacing w:before="40" w:after="40"/>
            </w:pPr>
            <w:r>
              <w:t>Bilgi dağarcığını artırmak amacıyla sistematik olarak sürdürülen yaratıcı çalışma ve bu bilginin yeni uygulamalar ortaya koymak için kullanılması dır.</w:t>
            </w:r>
          </w:p>
        </w:tc>
        <w:tc>
          <w:tcPr>
            <w:tcW w:type="dxa" w:w="5613"/>
            <w:shd w:val="clear" w:color="auto" w:fill="F2F2F2"/>
            <w:vAlign w:val="center"/>
          </w:tcPr>
          <w:p>
            <w:pPr>
              <w:spacing w:before="40" w:after="40"/>
            </w:pPr>
            <w:r>
              <w:t>4) AR-GE</w:t>
            </w:r>
          </w:p>
        </w:tc>
      </w:tr>
      <w:tr>
        <w:tc>
          <w:tcPr>
            <w:tcW w:type="dxa" w:w="5613"/>
            <w:shd w:val="clear" w:color="auto" w:fill="FFFFFF"/>
            <w:vAlign w:val="center"/>
          </w:tcPr>
          <w:p>
            <w:pPr>
              <w:spacing w:before="40" w:after="40"/>
            </w:pPr>
            <w:r>
              <w:t>Belirli faaliyet ve işlemler sonucu yeni bir mal veya hizmet meydana getirmektir.</w:t>
            </w:r>
          </w:p>
        </w:tc>
        <w:tc>
          <w:tcPr>
            <w:tcW w:type="dxa" w:w="5613"/>
            <w:shd w:val="clear" w:color="auto" w:fill="FFFFFF"/>
            <w:vAlign w:val="center"/>
          </w:tcPr>
          <w:p>
            <w:pPr>
              <w:spacing w:before="40" w:after="40"/>
            </w:pPr>
            <w:r>
              <w:t>5) Üretim</w:t>
            </w:r>
          </w:p>
        </w:tc>
      </w:tr>
      <w:tr>
        <w:tc>
          <w:tcPr>
            <w:tcW w:type="dxa" w:w="5613"/>
            <w:shd w:val="clear" w:color="auto" w:fill="F2F2F2"/>
            <w:vAlign w:val="center"/>
          </w:tcPr>
          <w:p>
            <w:pPr>
              <w:spacing w:before="40" w:after="40"/>
            </w:pPr>
            <w:r>
              <w:t>Bir kaynağın ya da değerin gelir sağlamak amacıyla kalıcı olarak kullanılmasıdır.</w:t>
            </w:r>
          </w:p>
        </w:tc>
        <w:tc>
          <w:tcPr>
            <w:tcW w:type="dxa" w:w="5613"/>
            <w:shd w:val="clear" w:color="auto" w:fill="F2F2F2"/>
            <w:vAlign w:val="center"/>
          </w:tcPr>
          <w:p>
            <w:pPr>
              <w:spacing w:before="40" w:after="40"/>
            </w:pPr>
            <w:r>
              <w:t>6) Yatırım</w:t>
            </w:r>
          </w:p>
        </w:tc>
      </w:tr>
    </w:tbl>
    <w:p>
      <w:pPr>
        <w:spacing w:before="40" w:after="80" w:line="240" w:lineRule="auto"/>
      </w:pPr>
      <w:r>
        <w:rPr>
          <w:rFonts w:ascii="Calibri" w:hAnsi="Calibri"/>
          <w:b/>
          <w:i w:val="0"/>
          <w:color w:val="008000"/>
          <w:sz w:val="18"/>
        </w:rPr>
        <w:t>[ CEVAP ]</w:t>
        <w:br/>
      </w:r>
      <w:r>
        <w:rPr>
          <w:rFonts w:ascii="Calibri" w:hAnsi="Calibri"/>
          <w:b w:val="0"/>
          <w:i w:val="0"/>
          <w:color w:val="008000"/>
          <w:sz w:val="18"/>
        </w:rPr>
        <w:t xml:space="preserve">  • Yapılan veya üretilen ürünlerin kullanılıp harcanmasıdır. → Tüketim</w:t>
      </w:r>
      <w:r>
        <w:br/>
      </w:r>
      <w:r>
        <w:rPr>
          <w:rFonts w:ascii="Calibri" w:hAnsi="Calibri"/>
          <w:b w:val="0"/>
          <w:i w:val="0"/>
          <w:color w:val="008000"/>
          <w:sz w:val="18"/>
        </w:rPr>
        <w:t xml:space="preserve">  • Ürün ve hizmetlerin tanıtılması, müşterilere sunulması ve satışının gerçekleştirilmesi süreçleridir. → Pazarlama</w:t>
      </w:r>
      <w:r>
        <w:br/>
      </w:r>
      <w:r>
        <w:rPr>
          <w:rFonts w:ascii="Calibri" w:hAnsi="Calibri"/>
          <w:b w:val="0"/>
          <w:i w:val="0"/>
          <w:color w:val="008000"/>
          <w:sz w:val="18"/>
        </w:rPr>
        <w:t xml:space="preserve">  • Bir ticaret işinin kurulması, yürütülmesi için gereken anapara ve paraya çevrilebilir malların tamamıdır. → Sermaye</w:t>
      </w:r>
      <w:r>
        <w:br/>
      </w:r>
      <w:r>
        <w:rPr>
          <w:rFonts w:ascii="Calibri" w:hAnsi="Calibri"/>
          <w:b w:val="0"/>
          <w:i w:val="0"/>
          <w:color w:val="008000"/>
          <w:sz w:val="18"/>
        </w:rPr>
        <w:t xml:space="preserve">  • Bilgi dağarcığını artırmak amacıyla sistematik olarak sürdürülen yaratıcı çalışma ve bu bilginin yeni uygulamalar ortaya koymak için kullanılması dır. → AR-GE</w:t>
      </w:r>
      <w:r>
        <w:br/>
      </w:r>
      <w:r>
        <w:rPr>
          <w:rFonts w:ascii="Calibri" w:hAnsi="Calibri"/>
          <w:b w:val="0"/>
          <w:i w:val="0"/>
          <w:color w:val="008000"/>
          <w:sz w:val="18"/>
        </w:rPr>
        <w:t xml:space="preserve">  • Belirli faaliyet ve işlemler sonucu yeni bir mal veya hizmet meydana getirmektir. → Üretim</w:t>
      </w:r>
      <w:r>
        <w:br/>
      </w:r>
      <w:r>
        <w:rPr>
          <w:rFonts w:ascii="Calibri" w:hAnsi="Calibri"/>
          <w:b w:val="0"/>
          <w:i w:val="0"/>
          <w:color w:val="008000"/>
          <w:sz w:val="18"/>
        </w:rPr>
        <w:t xml:space="preserve">  • Bir kaynağın ya da değerin gelir sağlamak amacıyla kalıcı olarak kullanılmasıdır. → Yatırım</w:t>
      </w:r>
    </w:p>
    <w:p/>
    <w:tbl>
      <w:tblPr>
        <w:tblW w:type="auto" w:w="0"/>
        <w:tblLayout w:type="fixed"/>
        <w:tblLook w:firstColumn="1" w:firstRow="1" w:lastColumn="0" w:lastRow="0" w:noHBand="0" w:noVBand="1" w:val="04A0"/>
        <w:tblBorders>
          <w:top w:val="none"/>
          <w:left w:val="none"/>
          <w:bottom w:val="none"/>
          <w:right w:val="none"/>
          <w:insideH w:val="none"/>
          <w:insideV w:val="none"/>
        </w:tblBorders>
      </w:tblPr>
      <w:tblGrid>
        <w:gridCol w:w="5669"/>
        <w:gridCol w:w="5556"/>
      </w:tblGrid>
      <w:tr>
        <w:tc>
          <w:tcPr>
            <w:tcW w:type="dxa" w:w="5669"/>
          </w:tcPr>
          <w:p>
            <w:r>
              <w:rPr>
                <w:rFonts w:ascii="Calibri" w:hAnsi="Calibri"/>
                <w:b/>
                <w:i w:val="0"/>
                <w:color w:val="3C3C3C"/>
              </w:rPr>
              <w:t>Cevap anahtarı üzerinden kontrollerinizi yapınız.</w:t>
              <w:br/>
              <w:t>İyi çalışmalar dilerim.</w:t>
            </w:r>
          </w:p>
        </w:tc>
        <w:tc>
          <w:tcPr>
            <w:tcW w:type="dxa" w:w="5556"/>
          </w:tcPr>
          <w:p>
            <w:pPr>
              <w:jc w:val="right"/>
            </w:pPr>
            <w:r>
              <w:rPr>
                <w:rFonts w:ascii="Calibri" w:hAnsi="Calibri"/>
                <w:b/>
                <w:i w:val="0"/>
                <w:sz w:val="18"/>
              </w:rPr>
              <w:t>Okan ARSLAN</w:t>
              <w:br/>
            </w:r>
            <w:r>
              <w:rPr>
                <w:rFonts w:ascii="Calibri" w:hAnsi="Calibri"/>
                <w:b w:val="0"/>
                <w:i w:val="0"/>
                <w:sz w:val="18"/>
              </w:rPr>
              <w:t>Sosyal Bilgiler Öğretmeni</w:t>
            </w:r>
          </w:p>
        </w:tc>
      </w:tr>
    </w:tbl>
    <w:p>
      <w:pPr>
        <w:jc w:val="center"/>
        <w:spacing w:before="200" w:after="0"/>
      </w:pPr>
      <w:r>
        <w:drawing>
          <wp:inline xmlns:a="http://schemas.openxmlformats.org/drawingml/2006/main" xmlns:pic="http://schemas.openxmlformats.org/drawingml/2006/picture">
            <wp:extent cx="2160000" cy="720512"/>
            <wp:docPr id="1" name="Picture 1"/>
            <wp:cNvGraphicFramePr>
              <a:graphicFrameLocks noChangeAspect="1"/>
            </wp:cNvGraphicFramePr>
            <a:graphic>
              <a:graphicData uri="http://schemas.openxmlformats.org/drawingml/2006/picture">
                <pic:pic>
                  <pic:nvPicPr>
                    <pic:cNvPr id="0" name="image.png"/>
                    <pic:cNvPicPr/>
                  </pic:nvPicPr>
                  <pic:blipFill>
                    <a:blip r:embed="rId9"/>
                    <a:stretch>
                      <a:fillRect/>
                    </a:stretch>
                  </pic:blipFill>
                  <pic:spPr>
                    <a:xfrm>
                      <a:off x="0" y="0"/>
                      <a:ext cx="2160000" cy="720512"/>
                    </a:xfrm>
                    <a:prstGeom prst="rect"/>
                  </pic:spPr>
                </pic:pic>
              </a:graphicData>
            </a:graphic>
          </wp:inline>
        </w:drawing>
      </w:r>
    </w:p>
    <w:p>
      <w:pPr>
        <w:jc w:val="center"/>
        <w:spacing w:before="40" w:after="0"/>
      </w:pPr>
      <w:r>
        <w:rPr>
          <w:rFonts w:ascii="Calibri" w:hAnsi="Calibri"/>
          <w:b w:val="0"/>
          <w:i w:val="0"/>
          <w:color w:val="969696"/>
          <w:sz w:val="15"/>
        </w:rPr>
        <w:t xml:space="preserve">Bu cevap anahtarı </w:t>
      </w:r>
      <w:r>
        <w:rPr>
          <w:rFonts w:ascii="Calibri" w:hAnsi="Calibri"/>
          <w:b/>
          <w:color w:val="0066CC"/>
          <w:sz w:val="16"/>
        </w:rPr>
        <w:t>sinavhazir.com.tr</w:t>
      </w:r>
      <w:r>
        <w:rPr>
          <w:rFonts w:ascii="Calibri" w:hAnsi="Calibri"/>
          <w:b w:val="0"/>
          <w:i w:val="0"/>
          <w:color w:val="969696"/>
          <w:sz w:val="15"/>
        </w:rPr>
        <w:t xml:space="preserve"> platformu üzerinden hazırlanmıştır.</w:t>
      </w:r>
    </w:p>
    <w:sectPr w:rsidR="00FC693F" w:rsidRPr="0006063C" w:rsidSect="00034616">
      <w:pgSz w:w="11906" w:h="16838"/>
      <w:pgMar w:top="340" w:right="340" w:bottom="340" w:left="3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18"/>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